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4394" w:rsidRPr="00FC72A4" w:rsidRDefault="00B24394" w:rsidP="00FC72A4">
      <w:pPr>
        <w:spacing w:after="160" w:line="256" w:lineRule="auto"/>
        <w:jc w:val="center"/>
        <w:rPr>
          <w:rFonts w:ascii="Arial Narrow" w:eastAsia="Calibri" w:hAnsi="Arial Narrow" w:cs="Times New Roman"/>
          <w:b/>
          <w:sz w:val="28"/>
          <w:szCs w:val="28"/>
          <w:lang w:val="es-ES_tradnl"/>
        </w:rPr>
      </w:pPr>
      <w:r w:rsidRPr="00FC72A4">
        <w:rPr>
          <w:rFonts w:ascii="Arial Narrow" w:eastAsia="Calibri" w:hAnsi="Arial Narrow" w:cs="Times New Roman"/>
          <w:b/>
          <w:sz w:val="28"/>
          <w:szCs w:val="28"/>
          <w:lang w:val="es-ES_tradnl"/>
        </w:rPr>
        <w:t>La oxigenación Hiperbárica: un método Terapéutico eficaz.</w:t>
      </w:r>
    </w:p>
    <w:p w:rsidR="00B24394" w:rsidRPr="00BA694D" w:rsidRDefault="00B24394" w:rsidP="00FC72A4">
      <w:pPr>
        <w:spacing w:after="160" w:line="256" w:lineRule="auto"/>
        <w:jc w:val="center"/>
        <w:rPr>
          <w:rFonts w:ascii="Arial Narrow" w:eastAsia="Calibri" w:hAnsi="Arial Narrow" w:cs="Times New Roman"/>
          <w:b/>
          <w:sz w:val="28"/>
          <w:szCs w:val="28"/>
          <w:lang w:val="en-US"/>
        </w:rPr>
      </w:pPr>
      <w:r w:rsidRPr="00BA694D">
        <w:rPr>
          <w:rFonts w:ascii="Arial Narrow" w:eastAsia="Calibri" w:hAnsi="Arial Narrow" w:cs="Times New Roman"/>
          <w:b/>
          <w:sz w:val="28"/>
          <w:szCs w:val="28"/>
          <w:lang w:val="en-US"/>
        </w:rPr>
        <w:t>Hyperbaric oxygenation: an effective therapeutic method.</w:t>
      </w:r>
    </w:p>
    <w:p w:rsidR="00B24394" w:rsidRPr="00BA694D" w:rsidRDefault="00B24394" w:rsidP="00B24394">
      <w:pPr>
        <w:spacing w:after="160" w:line="256" w:lineRule="auto"/>
        <w:jc w:val="both"/>
        <w:rPr>
          <w:rFonts w:ascii="Times New Roman" w:eastAsia="Calibri" w:hAnsi="Times New Roman" w:cs="Times New Roman"/>
          <w:sz w:val="24"/>
          <w:szCs w:val="24"/>
          <w:lang w:val="en-US"/>
        </w:rPr>
      </w:pPr>
    </w:p>
    <w:p w:rsidR="00BA694D" w:rsidRDefault="00B24394" w:rsidP="00BA694D">
      <w:pPr>
        <w:spacing w:after="160" w:line="256" w:lineRule="auto"/>
        <w:jc w:val="center"/>
        <w:rPr>
          <w:rFonts w:ascii="Times New Roman" w:eastAsia="Times New Roman" w:hAnsi="Times New Roman" w:cs="Times New Roman"/>
          <w:sz w:val="24"/>
          <w:szCs w:val="24"/>
          <w:lang w:val="es-ES_tradnl" w:eastAsia="es-ES"/>
        </w:rPr>
      </w:pPr>
      <w:proofErr w:type="spellStart"/>
      <w:r w:rsidRPr="00B24394">
        <w:rPr>
          <w:rFonts w:ascii="Times New Roman" w:eastAsia="Calibri" w:hAnsi="Times New Roman" w:cs="Times New Roman"/>
          <w:sz w:val="24"/>
          <w:szCs w:val="24"/>
          <w:lang w:val="es-ES_tradnl"/>
        </w:rPr>
        <w:t>Dra</w:t>
      </w:r>
      <w:proofErr w:type="spellEnd"/>
      <w:r w:rsidRPr="00B24394">
        <w:rPr>
          <w:rFonts w:ascii="Times New Roman" w:eastAsia="Calibri" w:hAnsi="Times New Roman" w:cs="Times New Roman"/>
          <w:sz w:val="24"/>
          <w:szCs w:val="24"/>
          <w:lang w:val="es-ES_tradnl"/>
        </w:rPr>
        <w:t xml:space="preserve"> Yanelis Izquierdo Barceló</w:t>
      </w:r>
      <w:r w:rsidRPr="00B24394">
        <w:rPr>
          <w:rFonts w:ascii="Times New Roman" w:eastAsia="Calibri" w:hAnsi="Times New Roman" w:cs="Times New Roman"/>
          <w:sz w:val="24"/>
          <w:szCs w:val="24"/>
          <w:vertAlign w:val="superscript"/>
          <w:lang w:val="es-ES_tradnl"/>
        </w:rPr>
        <w:t>1</w:t>
      </w:r>
      <w:r w:rsidRPr="00B24394">
        <w:rPr>
          <w:rFonts w:ascii="Times New Roman" w:eastAsia="Calibri" w:hAnsi="Times New Roman" w:cs="Times New Roman"/>
          <w:sz w:val="24"/>
          <w:szCs w:val="24"/>
          <w:lang w:val="es-ES_tradnl"/>
        </w:rPr>
        <w:t xml:space="preserve">. </w:t>
      </w:r>
      <w:hyperlink r:id="rId6" w:history="1">
        <w:r w:rsidRPr="00B24394">
          <w:rPr>
            <w:rFonts w:ascii="Times New Roman" w:eastAsia="Times New Roman" w:hAnsi="Times New Roman" w:cs="Times New Roman"/>
            <w:color w:val="0563C1"/>
            <w:sz w:val="24"/>
            <w:szCs w:val="24"/>
            <w:u w:val="single"/>
            <w:lang w:val="es-ES_tradnl" w:eastAsia="es-ES"/>
          </w:rPr>
          <w:t>https://orcid.org/</w:t>
        </w:r>
        <w:r w:rsidRPr="00B24394">
          <w:rPr>
            <w:rFonts w:ascii="Times New Roman" w:eastAsia="Times New Roman" w:hAnsi="Times New Roman" w:cs="Times New Roman"/>
            <w:bCs/>
            <w:color w:val="0563C1"/>
            <w:sz w:val="24"/>
            <w:szCs w:val="24"/>
            <w:u w:val="single"/>
            <w:lang w:val="es-ES_tradnl" w:eastAsia="es-ES"/>
          </w:rPr>
          <w:t>0000-0003-0048-0844</w:t>
        </w:r>
      </w:hyperlink>
      <w:r w:rsidR="00FC72A4">
        <w:rPr>
          <w:rFonts w:ascii="Times New Roman" w:eastAsia="Times New Roman" w:hAnsi="Times New Roman" w:cs="Times New Roman"/>
          <w:sz w:val="24"/>
          <w:szCs w:val="24"/>
          <w:lang w:val="es-ES_tradnl" w:eastAsia="es-ES"/>
        </w:rPr>
        <w:t>,</w:t>
      </w:r>
    </w:p>
    <w:p w:rsidR="00B24394" w:rsidRPr="00FC72A4" w:rsidRDefault="00B24394" w:rsidP="00BA694D">
      <w:pPr>
        <w:spacing w:after="160" w:line="256" w:lineRule="auto"/>
        <w:jc w:val="center"/>
        <w:rPr>
          <w:rFonts w:ascii="Times New Roman" w:eastAsia="Times New Roman" w:hAnsi="Times New Roman" w:cs="Times New Roman"/>
          <w:sz w:val="24"/>
          <w:szCs w:val="24"/>
          <w:lang w:val="es-ES_tradnl" w:eastAsia="es-ES"/>
        </w:rPr>
      </w:pPr>
      <w:r w:rsidRPr="00B24394">
        <w:rPr>
          <w:rFonts w:ascii="Times New Roman" w:eastAsia="Calibri" w:hAnsi="Times New Roman" w:cs="Times New Roman"/>
          <w:sz w:val="24"/>
          <w:szCs w:val="24"/>
          <w:lang w:val="es-ES_tradnl"/>
        </w:rPr>
        <w:t xml:space="preserve">Hospital Clínico Quirúrgico Docente Dr. Mario Muñoz Monroy. Orden Carlos J. </w:t>
      </w:r>
      <w:proofErr w:type="spellStart"/>
      <w:r w:rsidRPr="00B24394">
        <w:rPr>
          <w:rFonts w:ascii="Times New Roman" w:eastAsia="Calibri" w:hAnsi="Times New Roman" w:cs="Times New Roman"/>
          <w:sz w:val="24"/>
          <w:szCs w:val="24"/>
          <w:lang w:val="es-ES_tradnl"/>
        </w:rPr>
        <w:t>Finlay</w:t>
      </w:r>
      <w:proofErr w:type="spellEnd"/>
      <w:r w:rsidR="00FC72A4">
        <w:rPr>
          <w:rFonts w:ascii="Times New Roman" w:eastAsia="Calibri" w:hAnsi="Times New Roman" w:cs="Times New Roman"/>
          <w:sz w:val="24"/>
          <w:szCs w:val="24"/>
          <w:lang w:val="es-ES_tradnl"/>
        </w:rPr>
        <w:t>.</w:t>
      </w:r>
    </w:p>
    <w:p w:rsidR="00BA694D" w:rsidRDefault="00BA694D" w:rsidP="00B24394">
      <w:pPr>
        <w:spacing w:after="160" w:line="360" w:lineRule="auto"/>
        <w:jc w:val="both"/>
        <w:rPr>
          <w:rFonts w:ascii="Times New Roman" w:eastAsia="Calibri" w:hAnsi="Times New Roman" w:cs="Times New Roman"/>
          <w:b/>
          <w:sz w:val="28"/>
          <w:szCs w:val="28"/>
          <w:lang w:val="es-ES_tradnl"/>
        </w:rPr>
      </w:pPr>
    </w:p>
    <w:p w:rsidR="00B24394" w:rsidRPr="00B24394" w:rsidRDefault="00B24394" w:rsidP="00B24394">
      <w:pPr>
        <w:spacing w:after="160" w:line="360" w:lineRule="auto"/>
        <w:jc w:val="both"/>
        <w:rPr>
          <w:rFonts w:ascii="Times New Roman" w:eastAsia="Calibri" w:hAnsi="Times New Roman" w:cs="Times New Roman"/>
          <w:b/>
          <w:sz w:val="28"/>
          <w:szCs w:val="28"/>
          <w:lang w:val="es-ES_tradnl"/>
        </w:rPr>
      </w:pPr>
      <w:r w:rsidRPr="00B24394">
        <w:rPr>
          <w:rFonts w:ascii="Times New Roman" w:eastAsia="Calibri" w:hAnsi="Times New Roman" w:cs="Times New Roman"/>
          <w:b/>
          <w:sz w:val="28"/>
          <w:szCs w:val="28"/>
          <w:lang w:val="es-ES_tradnl"/>
        </w:rPr>
        <w:t>Resumen</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b/>
          <w:sz w:val="24"/>
          <w:szCs w:val="24"/>
          <w:lang w:val="es-ES_tradnl"/>
        </w:rPr>
        <w:t>Introducción</w:t>
      </w:r>
      <w:r w:rsidRPr="00B952D8">
        <w:rPr>
          <w:rFonts w:ascii="Arial Narrow" w:eastAsia="Calibri" w:hAnsi="Arial Narrow" w:cs="Times New Roman"/>
          <w:sz w:val="24"/>
          <w:szCs w:val="24"/>
          <w:lang w:val="es-ES_tradnl"/>
        </w:rPr>
        <w:t xml:space="preserve">: La Oxigenación Hiperbárica (OHB) es un método terapéutico que proporciona apoyo de inmediato al tejido hipóxico o mal perfundido,  por sus aportes se considera una terapia que mejora </w:t>
      </w:r>
      <w:r w:rsidR="00FC72A4" w:rsidRPr="00B952D8">
        <w:rPr>
          <w:rFonts w:ascii="Arial Narrow" w:eastAsia="Calibri" w:hAnsi="Arial Narrow" w:cs="Times New Roman"/>
          <w:sz w:val="24"/>
          <w:szCs w:val="24"/>
          <w:lang w:val="es-ES_tradnl"/>
        </w:rPr>
        <w:t xml:space="preserve">la calidad de vida del </w:t>
      </w:r>
      <w:r w:rsidR="00E972DC" w:rsidRPr="00B952D8">
        <w:rPr>
          <w:rFonts w:ascii="Arial Narrow" w:eastAsia="Calibri" w:hAnsi="Arial Narrow" w:cs="Times New Roman"/>
          <w:sz w:val="24"/>
          <w:szCs w:val="24"/>
          <w:lang w:val="es-ES_tradnl"/>
        </w:rPr>
        <w:t>paciente.</w:t>
      </w:r>
      <w:r w:rsidR="00E972DC" w:rsidRPr="00B952D8">
        <w:rPr>
          <w:rFonts w:ascii="Arial Narrow" w:eastAsia="Calibri" w:hAnsi="Arial Narrow" w:cs="Times New Roman"/>
          <w:b/>
          <w:sz w:val="24"/>
          <w:szCs w:val="24"/>
          <w:lang w:val="es-ES_tradnl"/>
        </w:rPr>
        <w:t xml:space="preserve"> Objetivo</w:t>
      </w:r>
      <w:r w:rsidRPr="00B952D8">
        <w:rPr>
          <w:rFonts w:ascii="Arial Narrow" w:eastAsia="Calibri" w:hAnsi="Arial Narrow" w:cs="Times New Roman"/>
          <w:sz w:val="24"/>
          <w:szCs w:val="24"/>
          <w:lang w:val="es-ES_tradnl"/>
        </w:rPr>
        <w:t>:</w:t>
      </w:r>
      <w:r w:rsidRPr="00B952D8">
        <w:rPr>
          <w:rFonts w:ascii="Arial Narrow" w:eastAsia="Calibri" w:hAnsi="Arial Narrow" w:cs="Times New Roman"/>
          <w:sz w:val="24"/>
          <w:szCs w:val="24"/>
          <w:lang w:val="es-EC"/>
        </w:rPr>
        <w:t xml:space="preserve"> Dar a conocer los múltiples beneficios terapéuticos de la Oxigenación Hiperbárica.</w:t>
      </w:r>
      <w:r w:rsidR="00E972DC" w:rsidRPr="00B952D8">
        <w:rPr>
          <w:rFonts w:ascii="Arial Narrow" w:eastAsia="Calibri" w:hAnsi="Arial Narrow" w:cs="Times New Roman"/>
          <w:sz w:val="24"/>
          <w:szCs w:val="24"/>
          <w:lang w:val="es-EC"/>
        </w:rPr>
        <w:t xml:space="preserve"> </w:t>
      </w:r>
      <w:r w:rsidRPr="00B952D8">
        <w:rPr>
          <w:rFonts w:ascii="Arial Narrow" w:eastAsia="Calibri" w:hAnsi="Arial Narrow" w:cs="Times New Roman"/>
          <w:b/>
          <w:sz w:val="24"/>
          <w:szCs w:val="24"/>
          <w:lang w:val="es-ES_tradnl"/>
        </w:rPr>
        <w:t>Desarrollo</w:t>
      </w:r>
      <w:r w:rsidRPr="00B952D8">
        <w:rPr>
          <w:rFonts w:ascii="Arial Narrow" w:eastAsia="Calibri" w:hAnsi="Arial Narrow" w:cs="Times New Roman"/>
          <w:sz w:val="24"/>
          <w:szCs w:val="24"/>
          <w:lang w:val="es-ES_tradnl"/>
        </w:rPr>
        <w:t>: Se realizó una revisión bibliográfica de artículos publicados desde 2019 hasta 2024 a través de los descriptores en ciencia de la salud seleccionados (</w:t>
      </w:r>
      <w:proofErr w:type="spellStart"/>
      <w:r w:rsidRPr="00B952D8">
        <w:rPr>
          <w:rFonts w:ascii="Arial Narrow" w:eastAsia="Calibri" w:hAnsi="Arial Narrow" w:cs="Times New Roman"/>
          <w:sz w:val="24"/>
          <w:szCs w:val="24"/>
          <w:lang w:val="es-ES_tradnl"/>
        </w:rPr>
        <w:t>DeCS</w:t>
      </w:r>
      <w:proofErr w:type="spellEnd"/>
      <w:r w:rsidRPr="00B952D8">
        <w:rPr>
          <w:rFonts w:ascii="Arial Narrow" w:eastAsia="Calibri" w:hAnsi="Arial Narrow" w:cs="Times New Roman"/>
          <w:sz w:val="24"/>
          <w:szCs w:val="24"/>
          <w:lang w:val="es-ES_tradnl"/>
        </w:rPr>
        <w:t>/</w:t>
      </w:r>
      <w:proofErr w:type="spellStart"/>
      <w:r w:rsidRPr="00B952D8">
        <w:rPr>
          <w:rFonts w:ascii="Arial Narrow" w:eastAsia="Calibri" w:hAnsi="Arial Narrow" w:cs="Times New Roman"/>
          <w:sz w:val="24"/>
          <w:szCs w:val="24"/>
          <w:lang w:val="es-ES_tradnl"/>
        </w:rPr>
        <w:t>MeSH</w:t>
      </w:r>
      <w:proofErr w:type="spellEnd"/>
      <w:r w:rsidRPr="00B952D8">
        <w:rPr>
          <w:rFonts w:ascii="Arial Narrow" w:eastAsia="Calibri" w:hAnsi="Arial Narrow" w:cs="Times New Roman"/>
          <w:sz w:val="24"/>
          <w:szCs w:val="24"/>
          <w:lang w:val="es-ES_tradnl"/>
        </w:rPr>
        <w:t xml:space="preserve">). Las bases de datos de referencia y programas de metabúsqueda fueron: Google </w:t>
      </w:r>
      <w:proofErr w:type="spellStart"/>
      <w:r w:rsidRPr="00B952D8">
        <w:rPr>
          <w:rFonts w:ascii="Arial Narrow" w:eastAsia="Calibri" w:hAnsi="Arial Narrow" w:cs="Times New Roman"/>
          <w:sz w:val="24"/>
          <w:szCs w:val="24"/>
          <w:lang w:val="es-ES_tradnl"/>
        </w:rPr>
        <w:t>Scholar</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ScienceDirect</w:t>
      </w:r>
      <w:proofErr w:type="spellEnd"/>
      <w:r w:rsidRPr="00B952D8">
        <w:rPr>
          <w:rFonts w:ascii="Arial Narrow" w:eastAsia="Calibri" w:hAnsi="Arial Narrow" w:cs="Times New Roman"/>
          <w:sz w:val="24"/>
          <w:szCs w:val="24"/>
          <w:lang w:val="es-ES_tradnl"/>
        </w:rPr>
        <w:t>, Cochrane Plus, SciELO, PubMed/Medline, Dialnet y revistas de acceso abierto utilizando los descriptores oxigenación hiperbárica, cámara hiperbárica, hipoxia en español e inglés. Se seleccionaron 22 referencias, incluyendo una variedad de artículos científicos que reportaron el oxígeno hiperbárico como una excelente herramienta terapéutica para combatir el daño tisular inducido por la hipoxia.</w:t>
      </w:r>
      <w:r w:rsidR="00E972DC" w:rsidRPr="00B952D8">
        <w:rPr>
          <w:rFonts w:ascii="Arial Narrow" w:eastAsia="Calibri" w:hAnsi="Arial Narrow" w:cs="Times New Roman"/>
          <w:sz w:val="24"/>
          <w:szCs w:val="24"/>
          <w:lang w:val="es-ES_tradnl"/>
        </w:rPr>
        <w:t xml:space="preserve"> </w:t>
      </w:r>
      <w:r w:rsidRPr="00B952D8">
        <w:rPr>
          <w:rFonts w:ascii="Arial Narrow" w:eastAsia="Calibri" w:hAnsi="Arial Narrow" w:cs="Times New Roman"/>
          <w:b/>
          <w:sz w:val="24"/>
          <w:szCs w:val="24"/>
          <w:lang w:val="es-ES_tradnl"/>
        </w:rPr>
        <w:t>Conclusiones:</w:t>
      </w:r>
      <w:r w:rsidRPr="00B952D8">
        <w:rPr>
          <w:rFonts w:ascii="Arial Narrow" w:eastAsia="Calibri" w:hAnsi="Arial Narrow" w:cs="Times New Roman"/>
          <w:sz w:val="24"/>
          <w:szCs w:val="24"/>
          <w:lang w:val="es-ES_tradnl"/>
        </w:rPr>
        <w:t xml:space="preserve"> La oxigenoterapia hiperbárica es un tratamiento eficaz para la hipoxemia tisular.</w:t>
      </w:r>
    </w:p>
    <w:p w:rsidR="00B24394" w:rsidRPr="00BA694D" w:rsidRDefault="00B24394" w:rsidP="00B24394">
      <w:pPr>
        <w:spacing w:after="160" w:line="360" w:lineRule="auto"/>
        <w:jc w:val="both"/>
        <w:rPr>
          <w:rFonts w:ascii="Arial Narrow" w:eastAsia="Calibri" w:hAnsi="Arial Narrow" w:cs="Times New Roman"/>
          <w:i/>
          <w:iCs/>
          <w:sz w:val="24"/>
          <w:szCs w:val="24"/>
          <w:lang w:val="es-ES_tradnl"/>
        </w:rPr>
      </w:pPr>
      <w:r w:rsidRPr="00BA694D">
        <w:rPr>
          <w:rFonts w:ascii="Arial Narrow" w:eastAsia="Calibri" w:hAnsi="Arial Narrow" w:cs="Times New Roman"/>
          <w:b/>
          <w:i/>
          <w:iCs/>
          <w:sz w:val="24"/>
          <w:szCs w:val="24"/>
          <w:lang w:val="es-ES_tradnl"/>
        </w:rPr>
        <w:t>Pa</w:t>
      </w:r>
      <w:r w:rsidRPr="00BA694D">
        <w:rPr>
          <w:rFonts w:ascii="Arial Narrow" w:eastAsia="Calibri" w:hAnsi="Arial Narrow" w:cs="Times New Roman"/>
          <w:i/>
          <w:iCs/>
          <w:sz w:val="24"/>
          <w:szCs w:val="24"/>
          <w:lang w:val="es-ES_tradnl"/>
        </w:rPr>
        <w:t>lab</w:t>
      </w:r>
      <w:r w:rsidRPr="00BA694D">
        <w:rPr>
          <w:rFonts w:ascii="Arial Narrow" w:eastAsia="Calibri" w:hAnsi="Arial Narrow" w:cs="Times New Roman"/>
          <w:b/>
          <w:i/>
          <w:iCs/>
          <w:sz w:val="24"/>
          <w:szCs w:val="24"/>
          <w:lang w:val="es-ES_tradnl"/>
        </w:rPr>
        <w:t xml:space="preserve">ras clave: </w:t>
      </w:r>
      <w:r w:rsidRPr="00BA694D">
        <w:rPr>
          <w:rFonts w:ascii="Arial Narrow" w:eastAsia="Calibri" w:hAnsi="Arial Narrow" w:cs="Times New Roman"/>
          <w:i/>
          <w:iCs/>
          <w:sz w:val="24"/>
          <w:szCs w:val="24"/>
          <w:lang w:val="es-ES_tradnl"/>
        </w:rPr>
        <w:t>Oxigenación hiperbári</w:t>
      </w:r>
      <w:r w:rsidR="0037131B" w:rsidRPr="00BA694D">
        <w:rPr>
          <w:rFonts w:ascii="Arial Narrow" w:eastAsia="Calibri" w:hAnsi="Arial Narrow" w:cs="Times New Roman"/>
          <w:i/>
          <w:iCs/>
          <w:sz w:val="24"/>
          <w:szCs w:val="24"/>
          <w:lang w:val="es-ES_tradnl"/>
        </w:rPr>
        <w:t>ca, cámara hiperbárica, hipoxia, hiperoxia.</w:t>
      </w:r>
    </w:p>
    <w:p w:rsidR="00BA694D" w:rsidRPr="00BA694D" w:rsidRDefault="00B24394" w:rsidP="00EB0114">
      <w:pPr>
        <w:spacing w:after="0" w:line="360" w:lineRule="auto"/>
        <w:jc w:val="both"/>
        <w:rPr>
          <w:rFonts w:ascii="Arial Narrow" w:eastAsia="Times New Roman" w:hAnsi="Arial Narrow" w:cs="Times New Roman"/>
          <w:b/>
          <w:bCs/>
          <w:i/>
          <w:iCs/>
          <w:sz w:val="24"/>
          <w:szCs w:val="24"/>
          <w:lang w:val="en" w:eastAsia="es-ES"/>
        </w:rPr>
      </w:pPr>
      <w:r w:rsidRPr="00BA694D">
        <w:rPr>
          <w:rFonts w:ascii="Arial Narrow" w:eastAsia="Times New Roman" w:hAnsi="Arial Narrow" w:cs="Times New Roman"/>
          <w:b/>
          <w:bCs/>
          <w:i/>
          <w:iCs/>
          <w:sz w:val="24"/>
          <w:szCs w:val="24"/>
          <w:lang w:val="en" w:eastAsia="es-ES"/>
        </w:rPr>
        <w:t xml:space="preserve">Abstract </w:t>
      </w:r>
    </w:p>
    <w:p w:rsidR="008B5CFD" w:rsidRPr="00BA694D" w:rsidRDefault="00B24394" w:rsidP="00EB0114">
      <w:pPr>
        <w:spacing w:after="0" w:line="360" w:lineRule="auto"/>
        <w:jc w:val="both"/>
        <w:rPr>
          <w:rFonts w:ascii="Arial Narrow" w:eastAsia="Times New Roman" w:hAnsi="Arial Narrow" w:cs="Times New Roman"/>
          <w:i/>
          <w:iCs/>
          <w:sz w:val="24"/>
          <w:szCs w:val="24"/>
          <w:lang w:val="en" w:eastAsia="es-ES"/>
        </w:rPr>
      </w:pPr>
      <w:r w:rsidRPr="00BA694D">
        <w:rPr>
          <w:rFonts w:ascii="Arial Narrow" w:eastAsia="Times New Roman" w:hAnsi="Arial Narrow" w:cs="Times New Roman"/>
          <w:i/>
          <w:iCs/>
          <w:sz w:val="24"/>
          <w:szCs w:val="24"/>
          <w:lang w:val="en" w:eastAsia="es-ES"/>
        </w:rPr>
        <w:t>Introduction: Hyperbaric Oxygenation (HBO) is a therapeutic method that provides immediate support to hy</w:t>
      </w:r>
      <w:r w:rsidR="008B5CFD" w:rsidRPr="00BA694D">
        <w:rPr>
          <w:rFonts w:ascii="Arial Narrow" w:eastAsia="Times New Roman" w:hAnsi="Arial Narrow" w:cs="Times New Roman"/>
          <w:i/>
          <w:iCs/>
          <w:sz w:val="24"/>
          <w:szCs w:val="24"/>
          <w:lang w:val="en" w:eastAsia="es-ES"/>
        </w:rPr>
        <w:t>poxic or poorly perfused tissue</w:t>
      </w:r>
      <w:r w:rsidRPr="00BA694D">
        <w:rPr>
          <w:rFonts w:ascii="Arial Narrow" w:eastAsia="Times New Roman" w:hAnsi="Arial Narrow" w:cs="Times New Roman"/>
          <w:i/>
          <w:iCs/>
          <w:sz w:val="24"/>
          <w:szCs w:val="24"/>
          <w:lang w:val="en" w:eastAsia="es-ES"/>
        </w:rPr>
        <w:t>. Due to its contributions, it is considered a therapy that improves the patient's quality of life and its medium and long-term contributions make this form of treatment financially sustainable. Objective: To make known the multiple therapeutic benefits of Hyperbaric Oxygenation. Development: A bibliographic review of articles published from 2019 to 2024 was carried out through the selected health science descriptors (</w:t>
      </w:r>
      <w:proofErr w:type="spellStart"/>
      <w:r w:rsidRPr="00BA694D">
        <w:rPr>
          <w:rFonts w:ascii="Arial Narrow" w:eastAsia="Times New Roman" w:hAnsi="Arial Narrow" w:cs="Times New Roman"/>
          <w:i/>
          <w:iCs/>
          <w:sz w:val="24"/>
          <w:szCs w:val="24"/>
          <w:lang w:val="en" w:eastAsia="es-ES"/>
        </w:rPr>
        <w:t>DeCS</w:t>
      </w:r>
      <w:proofErr w:type="spellEnd"/>
      <w:r w:rsidRPr="00BA694D">
        <w:rPr>
          <w:rFonts w:ascii="Arial Narrow" w:eastAsia="Times New Roman" w:hAnsi="Arial Narrow" w:cs="Times New Roman"/>
          <w:i/>
          <w:iCs/>
          <w:sz w:val="24"/>
          <w:szCs w:val="24"/>
          <w:lang w:val="en" w:eastAsia="es-ES"/>
        </w:rPr>
        <w:t>/</w:t>
      </w:r>
      <w:proofErr w:type="spellStart"/>
      <w:r w:rsidRPr="00BA694D">
        <w:rPr>
          <w:rFonts w:ascii="Arial Narrow" w:eastAsia="Times New Roman" w:hAnsi="Arial Narrow" w:cs="Times New Roman"/>
          <w:i/>
          <w:iCs/>
          <w:sz w:val="24"/>
          <w:szCs w:val="24"/>
          <w:lang w:val="en" w:eastAsia="es-ES"/>
        </w:rPr>
        <w:t>MeSH</w:t>
      </w:r>
      <w:proofErr w:type="spellEnd"/>
      <w:r w:rsidRPr="00BA694D">
        <w:rPr>
          <w:rFonts w:ascii="Arial Narrow" w:eastAsia="Times New Roman" w:hAnsi="Arial Narrow" w:cs="Times New Roman"/>
          <w:i/>
          <w:iCs/>
          <w:sz w:val="24"/>
          <w:szCs w:val="24"/>
          <w:lang w:val="en" w:eastAsia="es-ES"/>
        </w:rPr>
        <w:t xml:space="preserve">). The reference databases and metasearch programs were: Google Scholar, ScienceDirect, Cochrane Plus, </w:t>
      </w:r>
      <w:proofErr w:type="spellStart"/>
      <w:r w:rsidRPr="00BA694D">
        <w:rPr>
          <w:rFonts w:ascii="Arial Narrow" w:eastAsia="Times New Roman" w:hAnsi="Arial Narrow" w:cs="Times New Roman"/>
          <w:i/>
          <w:iCs/>
          <w:sz w:val="24"/>
          <w:szCs w:val="24"/>
          <w:lang w:val="en" w:eastAsia="es-ES"/>
        </w:rPr>
        <w:t>SciELO</w:t>
      </w:r>
      <w:proofErr w:type="spellEnd"/>
      <w:r w:rsidRPr="00BA694D">
        <w:rPr>
          <w:rFonts w:ascii="Arial Narrow" w:eastAsia="Times New Roman" w:hAnsi="Arial Narrow" w:cs="Times New Roman"/>
          <w:i/>
          <w:iCs/>
          <w:sz w:val="24"/>
          <w:szCs w:val="24"/>
          <w:lang w:val="en" w:eastAsia="es-ES"/>
        </w:rPr>
        <w:t xml:space="preserve">, PubMed/Medline, </w:t>
      </w:r>
      <w:proofErr w:type="spellStart"/>
      <w:r w:rsidRPr="00BA694D">
        <w:rPr>
          <w:rFonts w:ascii="Arial Narrow" w:eastAsia="Times New Roman" w:hAnsi="Arial Narrow" w:cs="Times New Roman"/>
          <w:i/>
          <w:iCs/>
          <w:sz w:val="24"/>
          <w:szCs w:val="24"/>
          <w:lang w:val="en" w:eastAsia="es-ES"/>
        </w:rPr>
        <w:t>Dialnet</w:t>
      </w:r>
      <w:proofErr w:type="spellEnd"/>
      <w:r w:rsidRPr="00BA694D">
        <w:rPr>
          <w:rFonts w:ascii="Arial Narrow" w:eastAsia="Times New Roman" w:hAnsi="Arial Narrow" w:cs="Times New Roman"/>
          <w:i/>
          <w:iCs/>
          <w:sz w:val="24"/>
          <w:szCs w:val="24"/>
          <w:lang w:val="en" w:eastAsia="es-ES"/>
        </w:rPr>
        <w:t xml:space="preserve"> and open access journals using the descriptors hyperbaric oxygenation, hyperbaric chamber, hypoxia in Spanish and </w:t>
      </w:r>
      <w:r w:rsidRPr="00BA694D">
        <w:rPr>
          <w:rFonts w:ascii="Arial Narrow" w:eastAsia="Times New Roman" w:hAnsi="Arial Narrow" w:cs="Times New Roman"/>
          <w:i/>
          <w:iCs/>
          <w:sz w:val="24"/>
          <w:szCs w:val="24"/>
          <w:lang w:val="en" w:eastAsia="es-ES"/>
        </w:rPr>
        <w:lastRenderedPageBreak/>
        <w:t>English. Twenty-two references were selected, including a variety of scientific articles that reported hyperbaric oxygen as an excellent therapeutic tool to combat tissue damage induced by hypoxia. Conclusions: Hyperbaric oxygen therapy is an effective treatment for tissue hypoxemia.</w:t>
      </w:r>
    </w:p>
    <w:p w:rsidR="00B24394" w:rsidRDefault="00B24394" w:rsidP="00EB0114">
      <w:pPr>
        <w:spacing w:after="0" w:line="360" w:lineRule="auto"/>
        <w:jc w:val="both"/>
        <w:rPr>
          <w:rFonts w:ascii="Arial Narrow" w:eastAsia="Times New Roman" w:hAnsi="Arial Narrow" w:cs="Times New Roman"/>
          <w:i/>
          <w:iCs/>
          <w:sz w:val="24"/>
          <w:szCs w:val="24"/>
          <w:lang w:val="en" w:eastAsia="es-ES"/>
        </w:rPr>
      </w:pPr>
      <w:r w:rsidRPr="00BA694D">
        <w:rPr>
          <w:rFonts w:ascii="Arial Narrow" w:eastAsia="Times New Roman" w:hAnsi="Arial Narrow" w:cs="Times New Roman"/>
          <w:i/>
          <w:iCs/>
          <w:sz w:val="24"/>
          <w:szCs w:val="24"/>
          <w:lang w:val="en" w:eastAsia="es-ES"/>
        </w:rPr>
        <w:t xml:space="preserve"> Keywords: Hyperbaric oxygenation, hyperbaric chamber, hypoxia.</w:t>
      </w:r>
    </w:p>
    <w:p w:rsidR="00BA694D" w:rsidRPr="00BA694D" w:rsidRDefault="00BA694D" w:rsidP="00EB0114">
      <w:pPr>
        <w:spacing w:after="0" w:line="360" w:lineRule="auto"/>
        <w:jc w:val="both"/>
        <w:rPr>
          <w:rFonts w:ascii="Arial Narrow" w:eastAsia="Times New Roman" w:hAnsi="Arial Narrow" w:cs="Times New Roman"/>
          <w:i/>
          <w:iCs/>
          <w:sz w:val="24"/>
          <w:szCs w:val="24"/>
          <w:lang w:val="en-US" w:eastAsia="es-ES"/>
        </w:rPr>
      </w:pPr>
      <w:bookmarkStart w:id="1" w:name="_GoBack"/>
      <w:bookmarkEnd w:id="1"/>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La Medicina Hiperbárica o </w:t>
      </w:r>
      <w:proofErr w:type="spellStart"/>
      <w:r w:rsidRPr="00B952D8">
        <w:rPr>
          <w:rFonts w:ascii="Arial Narrow" w:eastAsia="Calibri" w:hAnsi="Arial Narrow" w:cs="Times New Roman"/>
          <w:sz w:val="24"/>
          <w:szCs w:val="24"/>
          <w:lang w:val="es-ES_tradnl"/>
        </w:rPr>
        <w:t>Baromedicina</w:t>
      </w:r>
      <w:proofErr w:type="spellEnd"/>
      <w:r w:rsidRPr="00B952D8">
        <w:rPr>
          <w:rFonts w:ascii="Arial Narrow" w:eastAsia="Calibri" w:hAnsi="Arial Narrow" w:cs="Times New Roman"/>
          <w:sz w:val="24"/>
          <w:szCs w:val="24"/>
          <w:lang w:val="es-ES_tradnl"/>
        </w:rPr>
        <w:t>, es una rama de la Medicina de Ambientes Especiales que estudia la fisiología y fisiopatología del organismo humano sometido a ambientes con mayor presión que la atmosférica; y comprende la Medicina Subacuática y la Oxigenación Hiperbárica.</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La Oxigenación Hiperbárica (OHB) es una modalidad de tratamiento que se realiza en cámaras que garantizan un ambiente presurizado a por lo menos 1.4 atmósferas absolutas (ATA) en el que se respira oxígeno al 100%.</w:t>
      </w:r>
      <w:r w:rsidRPr="00B952D8">
        <w:rPr>
          <w:rFonts w:ascii="Arial Narrow" w:eastAsia="Calibri" w:hAnsi="Arial Narrow" w:cs="Times New Roman"/>
          <w:sz w:val="24"/>
          <w:szCs w:val="24"/>
          <w:vertAlign w:val="superscript"/>
          <w:lang w:val="es-ES_tradnl"/>
        </w:rPr>
        <w:t xml:space="preserve">(1) </w:t>
      </w:r>
      <w:r w:rsidRPr="00B952D8">
        <w:rPr>
          <w:rFonts w:ascii="Arial Narrow" w:eastAsia="Calibri" w:hAnsi="Arial Narrow" w:cs="Times New Roman"/>
          <w:sz w:val="24"/>
          <w:szCs w:val="24"/>
          <w:lang w:val="es-ES_tradnl"/>
        </w:rPr>
        <w:t xml:space="preserve"> Su base científica se basa en el comportamiento de las leyes físicas de los gases: Ley de Dalton, Ley de Boyle  </w:t>
      </w:r>
      <w:proofErr w:type="spellStart"/>
      <w:r w:rsidRPr="00B952D8">
        <w:rPr>
          <w:rFonts w:ascii="Arial Narrow" w:eastAsia="Calibri" w:hAnsi="Arial Narrow" w:cs="Times New Roman"/>
          <w:sz w:val="24"/>
          <w:szCs w:val="24"/>
          <w:lang w:val="es-ES_tradnl"/>
        </w:rPr>
        <w:t>Mariot</w:t>
      </w:r>
      <w:proofErr w:type="spellEnd"/>
      <w:r w:rsidRPr="00B952D8">
        <w:rPr>
          <w:rFonts w:ascii="Arial Narrow" w:eastAsia="Calibri" w:hAnsi="Arial Narrow" w:cs="Times New Roman"/>
          <w:sz w:val="24"/>
          <w:szCs w:val="24"/>
          <w:lang w:val="es-ES_tradnl"/>
        </w:rPr>
        <w:t xml:space="preserve"> y Ley de Henry, las cuales permiten comprender que el aumento de la presión en un entorno controlado con hiperoxigenación proporciona apoyo inmediato al tejido hipóxico o mal perfundido en áreas de compromiso circulatorio permitiendo la normalización bioenergética de la cadena respiratoria y la producción de energía (ATP) a nivel mitocondrial</w:t>
      </w:r>
      <w:r w:rsidRPr="00B952D8">
        <w:rPr>
          <w:rFonts w:ascii="Arial Narrow" w:eastAsia="Calibri" w:hAnsi="Arial Narrow" w:cs="Times New Roman"/>
          <w:sz w:val="24"/>
          <w:szCs w:val="24"/>
          <w:vertAlign w:val="superscript"/>
          <w:lang w:val="es-ES_tradnl"/>
        </w:rPr>
        <w:t xml:space="preserve">(1,2,3) </w:t>
      </w:r>
      <w:r w:rsidRPr="00B952D8">
        <w:rPr>
          <w:rFonts w:ascii="Arial Narrow" w:eastAsia="Calibri" w:hAnsi="Arial Narrow" w:cs="Times New Roman"/>
          <w:bCs/>
          <w:sz w:val="24"/>
          <w:szCs w:val="24"/>
          <w:lang w:val="es-ES_tradnl"/>
        </w:rPr>
        <w:t>Según la literatura revisada la OHB</w:t>
      </w:r>
      <w:r w:rsidRPr="00B952D8">
        <w:rPr>
          <w:rFonts w:ascii="Arial Narrow" w:eastAsia="Calibri" w:hAnsi="Arial Narrow" w:cs="Times New Roman"/>
          <w:b/>
          <w:bCs/>
          <w:sz w:val="24"/>
          <w:szCs w:val="24"/>
          <w:lang w:val="es-ES_tradnl"/>
        </w:rPr>
        <w:t xml:space="preserve"> </w:t>
      </w:r>
      <w:r w:rsidRPr="00B952D8">
        <w:rPr>
          <w:rFonts w:ascii="Arial Narrow" w:eastAsia="Calibri" w:hAnsi="Arial Narrow" w:cs="Times New Roman"/>
          <w:bCs/>
          <w:sz w:val="24"/>
          <w:szCs w:val="24"/>
          <w:lang w:val="es-ES_tradnl"/>
        </w:rPr>
        <w:t xml:space="preserve">posee la mayor acción </w:t>
      </w:r>
      <w:proofErr w:type="spellStart"/>
      <w:r w:rsidRPr="00B952D8">
        <w:rPr>
          <w:rFonts w:ascii="Arial Narrow" w:eastAsia="Calibri" w:hAnsi="Arial Narrow" w:cs="Times New Roman"/>
          <w:bCs/>
          <w:sz w:val="24"/>
          <w:szCs w:val="24"/>
          <w:lang w:val="es-ES_tradnl"/>
        </w:rPr>
        <w:t>antihipóxica</w:t>
      </w:r>
      <w:proofErr w:type="spellEnd"/>
      <w:r w:rsidRPr="00B952D8">
        <w:rPr>
          <w:rFonts w:ascii="Arial Narrow" w:eastAsia="Calibri" w:hAnsi="Arial Narrow" w:cs="Times New Roman"/>
          <w:bCs/>
          <w:sz w:val="24"/>
          <w:szCs w:val="24"/>
          <w:lang w:val="es-ES_tradnl"/>
        </w:rPr>
        <w:t xml:space="preserve"> conocida.</w:t>
      </w:r>
      <w:r w:rsidRPr="00B952D8">
        <w:rPr>
          <w:rFonts w:ascii="Arial Narrow" w:eastAsia="Calibri" w:hAnsi="Arial Narrow" w:cs="Times New Roman"/>
          <w:sz w:val="24"/>
          <w:szCs w:val="24"/>
          <w:lang w:val="es-ES_tradnl"/>
        </w:rPr>
        <w:t xml:space="preserve"> </w:t>
      </w:r>
      <w:r w:rsidRPr="00B952D8">
        <w:rPr>
          <w:rFonts w:ascii="Arial Narrow" w:eastAsia="Calibri" w:hAnsi="Arial Narrow" w:cs="Times New Roman"/>
          <w:sz w:val="24"/>
          <w:szCs w:val="24"/>
          <w:lang w:val="es-EC"/>
        </w:rPr>
        <w:t xml:space="preserve">Por sus beneficios, es considerada una terapéutica que mejora la calidad de vida del paciente, y disminuye los días de hospitalización. Este método resulta económico y sustentable debido a que sus beneficios justifican los gastos que genera. </w:t>
      </w:r>
      <w:r w:rsidRPr="00B952D8">
        <w:rPr>
          <w:rFonts w:ascii="Arial Narrow" w:eastAsia="Calibri" w:hAnsi="Arial Narrow" w:cs="Times New Roman"/>
          <w:sz w:val="24"/>
          <w:szCs w:val="24"/>
          <w:vertAlign w:val="superscript"/>
          <w:lang w:val="es-EC"/>
        </w:rPr>
        <w:t>(4)</w:t>
      </w:r>
    </w:p>
    <w:p w:rsidR="00B24394" w:rsidRPr="00B952D8" w:rsidRDefault="00B24394" w:rsidP="00B24394">
      <w:pPr>
        <w:spacing w:after="160" w:line="360" w:lineRule="auto"/>
        <w:jc w:val="both"/>
        <w:rPr>
          <w:rFonts w:ascii="Arial Narrow" w:eastAsia="Calibri" w:hAnsi="Arial Narrow" w:cs="Times New Roman"/>
          <w:sz w:val="24"/>
          <w:szCs w:val="24"/>
          <w:lang w:val="es-US"/>
        </w:rPr>
      </w:pPr>
      <w:r w:rsidRPr="00B952D8">
        <w:rPr>
          <w:rFonts w:ascii="Arial Narrow" w:eastAsia="Calibri" w:hAnsi="Arial Narrow" w:cs="Times New Roman"/>
          <w:sz w:val="24"/>
          <w:szCs w:val="24"/>
          <w:lang w:val="es-EC"/>
        </w:rPr>
        <w:t>El trabajo que se presenta tiene como objetivo dar a conocer los múltiples beneficios terapéuticos de la Oxigenación Hiperbárica.</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Se realizó una revisión bibliográfica de artículos publicados desde 2019 hasta 2024 a través de los descriptores en ciencia de la salud seleccionados (</w:t>
      </w:r>
      <w:proofErr w:type="spellStart"/>
      <w:r w:rsidRPr="00B952D8">
        <w:rPr>
          <w:rFonts w:ascii="Arial Narrow" w:eastAsia="Calibri" w:hAnsi="Arial Narrow" w:cs="Times New Roman"/>
          <w:sz w:val="24"/>
          <w:szCs w:val="24"/>
          <w:lang w:val="es-ES_tradnl"/>
        </w:rPr>
        <w:t>DeCS</w:t>
      </w:r>
      <w:proofErr w:type="spellEnd"/>
      <w:r w:rsidRPr="00B952D8">
        <w:rPr>
          <w:rFonts w:ascii="Arial Narrow" w:eastAsia="Calibri" w:hAnsi="Arial Narrow" w:cs="Times New Roman"/>
          <w:sz w:val="24"/>
          <w:szCs w:val="24"/>
          <w:lang w:val="es-ES_tradnl"/>
        </w:rPr>
        <w:t>/</w:t>
      </w:r>
      <w:proofErr w:type="spellStart"/>
      <w:r w:rsidRPr="00B952D8">
        <w:rPr>
          <w:rFonts w:ascii="Arial Narrow" w:eastAsia="Calibri" w:hAnsi="Arial Narrow" w:cs="Times New Roman"/>
          <w:sz w:val="24"/>
          <w:szCs w:val="24"/>
          <w:lang w:val="es-ES_tradnl"/>
        </w:rPr>
        <w:t>MeSH</w:t>
      </w:r>
      <w:proofErr w:type="spellEnd"/>
      <w:r w:rsidRPr="00B952D8">
        <w:rPr>
          <w:rFonts w:ascii="Arial Narrow" w:eastAsia="Calibri" w:hAnsi="Arial Narrow" w:cs="Times New Roman"/>
          <w:sz w:val="24"/>
          <w:szCs w:val="24"/>
          <w:lang w:val="es-ES_tradnl"/>
        </w:rPr>
        <w:t xml:space="preserve">). Las bases de datos de referencia y programas de metabúsqueda fueron: Google </w:t>
      </w:r>
      <w:proofErr w:type="spellStart"/>
      <w:r w:rsidRPr="00B952D8">
        <w:rPr>
          <w:rFonts w:ascii="Arial Narrow" w:eastAsia="Calibri" w:hAnsi="Arial Narrow" w:cs="Times New Roman"/>
          <w:sz w:val="24"/>
          <w:szCs w:val="24"/>
          <w:lang w:val="es-ES_tradnl"/>
        </w:rPr>
        <w:t>Scholar</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ScienceDirect</w:t>
      </w:r>
      <w:proofErr w:type="spellEnd"/>
      <w:r w:rsidRPr="00B952D8">
        <w:rPr>
          <w:rFonts w:ascii="Arial Narrow" w:eastAsia="Calibri" w:hAnsi="Arial Narrow" w:cs="Times New Roman"/>
          <w:sz w:val="24"/>
          <w:szCs w:val="24"/>
          <w:lang w:val="es-ES_tradnl"/>
        </w:rPr>
        <w:t>, Cochrane Plus, SciELO, PubMed/Medline, Dialnet y revistas de acceso abierto utilizando los descriptores oxigenación hiperbárica, cámara hiperbárica, hipoxia en español e inglés.</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No obstante, 2 de los artículos pertenecen a un periodo anterior y no fueron desestimados por considerarse relevantes para la revisión. Se consideraron como criterios de inclusión artículos sobre oxigenoterapia hiperbárica, sus beneficios, indicaciones y contraindicaciones. Se excluyeron los artículos con resultados poco significativos, así como aquellos cuyo idioma no fuese el inglés o el español.  </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lastRenderedPageBreak/>
        <w:t>La oxigenoterapia hiperbárica (OHB) es definida como una modalidad terapéutica que se fundamenta en la obtención de presiones parciales de oxígeno elevadas al respirar oxígeno puro, en el interior de una cámara hiperbárica, a una presión superior a la atmosférica por un tiempo limitado. (1,2,4)</w:t>
      </w:r>
    </w:p>
    <w:p w:rsidR="00B24394" w:rsidRPr="00B24394" w:rsidRDefault="00B24394" w:rsidP="00B24394">
      <w:pPr>
        <w:spacing w:after="160" w:line="360" w:lineRule="auto"/>
        <w:jc w:val="both"/>
        <w:rPr>
          <w:rFonts w:ascii="Times New Roman" w:eastAsia="Calibri" w:hAnsi="Times New Roman" w:cs="Times New Roman"/>
          <w:b/>
          <w:sz w:val="28"/>
          <w:szCs w:val="28"/>
          <w:lang w:val="es-ES_tradnl"/>
        </w:rPr>
      </w:pP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La Oxigenación Hiperbárica (OHB) dentro de sus generalidades es conocida desde hace más de 300 años y su descubrimiento ha estado ligado estrechamente con el desarrollo del buceo, aunque sólo se utiliza con propiedad y bases científicas, a partir de los trabajos del fisiólogo holandés, </w:t>
      </w:r>
      <w:proofErr w:type="spellStart"/>
      <w:r w:rsidRPr="00B952D8">
        <w:rPr>
          <w:rFonts w:ascii="Arial Narrow" w:eastAsia="Calibri" w:hAnsi="Arial Narrow" w:cs="Times New Roman"/>
          <w:sz w:val="24"/>
          <w:szCs w:val="24"/>
          <w:lang w:val="es-ES_tradnl"/>
        </w:rPr>
        <w:t>Ite</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Boerema</w:t>
      </w:r>
      <w:proofErr w:type="spellEnd"/>
      <w:r w:rsidRPr="00B952D8">
        <w:rPr>
          <w:rFonts w:ascii="Arial Narrow" w:eastAsia="Calibri" w:hAnsi="Arial Narrow" w:cs="Times New Roman"/>
          <w:sz w:val="24"/>
          <w:szCs w:val="24"/>
          <w:lang w:val="es-ES_tradnl"/>
        </w:rPr>
        <w:t xml:space="preserve"> quien evidenció el incremento de la presión parcial de oxígeno en los medios líquidos del organismos, en particular el plasma, al suministrar oxígeno en medio hiperbárico. (5)</w:t>
      </w:r>
    </w:p>
    <w:p w:rsidR="00B24394" w:rsidRPr="0015750F"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Las cámaras hiperbáricas son receptáculos condicionados para soportar presiones mayores a la atmosférica. Según el diseño se clasifican en: cámaras monoplazas, con capacidad para un paciente o multiplaza cuando alojan en su interior a 2 o más pacientes. (5,6) Una de las características que diferencia a las </w:t>
      </w:r>
      <w:proofErr w:type="spellStart"/>
      <w:r w:rsidRPr="00B952D8">
        <w:rPr>
          <w:rFonts w:ascii="Arial Narrow" w:eastAsia="Calibri" w:hAnsi="Arial Narrow" w:cs="Times New Roman"/>
          <w:sz w:val="24"/>
          <w:szCs w:val="24"/>
          <w:lang w:val="es-ES_tradnl"/>
        </w:rPr>
        <w:t>multiplazas</w:t>
      </w:r>
      <w:proofErr w:type="spellEnd"/>
      <w:r w:rsidRPr="00B952D8">
        <w:rPr>
          <w:rFonts w:ascii="Arial Narrow" w:eastAsia="Calibri" w:hAnsi="Arial Narrow" w:cs="Times New Roman"/>
          <w:sz w:val="24"/>
          <w:szCs w:val="24"/>
          <w:lang w:val="es-ES_tradnl"/>
        </w:rPr>
        <w:t>, además de la cantidad de pacientes que permite tratar por sesión, es que la presurización se realiza con aire y se respira el oxígeno mediante una mascarilla, escafandra o tubo endotraqueal, en dependencia de la condición del paciente. (7)</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El rango terapéutico de la oxigenación hiperbárica se ha ampliado en los últimos años, si bien juega un papel importante en las actividades subacuáticas son múltiples las patologías que tienen esta modalidad terapéutica como indicación.</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La reducción del tamaño de las burbujas convierte además a la oxigenación hiperbárica en el tratamiento por excelencia del </w:t>
      </w:r>
      <w:proofErr w:type="spellStart"/>
      <w:r w:rsidRPr="00B952D8">
        <w:rPr>
          <w:rFonts w:ascii="Arial Narrow" w:eastAsia="Calibri" w:hAnsi="Arial Narrow" w:cs="Times New Roman"/>
          <w:sz w:val="24"/>
          <w:szCs w:val="24"/>
          <w:lang w:val="es-ES_tradnl"/>
        </w:rPr>
        <w:t>aeroembolismos</w:t>
      </w:r>
      <w:proofErr w:type="spellEnd"/>
      <w:r w:rsidRPr="00B952D8">
        <w:rPr>
          <w:rFonts w:ascii="Arial Narrow" w:eastAsia="Calibri" w:hAnsi="Arial Narrow" w:cs="Times New Roman"/>
          <w:sz w:val="24"/>
          <w:szCs w:val="24"/>
          <w:lang w:val="es-ES_tradnl"/>
        </w:rPr>
        <w:t xml:space="preserve"> que se produce como complicación de un proceder intervencionista diagnóstico o terapéutico (cirugía cardiovascular, broncoscopías, endoscopías, hemodiálisis, radiología intervencionista, neurocirugía) cada vez más comunes en la práctica médica. </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Otras indicaciones son: intoxicación por monóxido de carbono, gangrena gaseosa e infecciones necrotizantes de partes blandas. Se utiliza en el tratamiento de enfermedades con etiología isquémica como son el accidente cerebrovascular isquémico agudo, cardiopatía isquémica, insuficiencia arterial aguda y crónica, pie diabético, oclusión de los vasos centrales de la retina, neuritis óptica isquémica, sordera súbita, encefalopatía hipóxico- isquémica, retardos de </w:t>
      </w:r>
      <w:r w:rsidRPr="00B952D8">
        <w:rPr>
          <w:rFonts w:ascii="Arial Narrow" w:eastAsia="Calibri" w:hAnsi="Arial Narrow" w:cs="Times New Roman"/>
          <w:sz w:val="24"/>
          <w:szCs w:val="24"/>
          <w:lang w:val="es-ES_tradnl"/>
        </w:rPr>
        <w:lastRenderedPageBreak/>
        <w:t>cicatrización de heridas quirúrgicas, ulceras isquémicas, quemaduras térmicas e injertos y colgajos comprometidos, y en el síndrome compartimental. (5,2)</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Es el tratamiento de elección en las lesiones </w:t>
      </w:r>
      <w:proofErr w:type="spellStart"/>
      <w:r w:rsidRPr="00B952D8">
        <w:rPr>
          <w:rFonts w:ascii="Arial Narrow" w:eastAsia="Calibri" w:hAnsi="Arial Narrow" w:cs="Times New Roman"/>
          <w:sz w:val="24"/>
          <w:szCs w:val="24"/>
          <w:lang w:val="es-ES_tradnl"/>
        </w:rPr>
        <w:t>radioinducidas</w:t>
      </w:r>
      <w:proofErr w:type="spellEnd"/>
      <w:r w:rsidRPr="00B952D8">
        <w:rPr>
          <w:rFonts w:ascii="Arial Narrow" w:eastAsia="Calibri" w:hAnsi="Arial Narrow" w:cs="Times New Roman"/>
          <w:sz w:val="24"/>
          <w:szCs w:val="24"/>
          <w:lang w:val="es-ES_tradnl"/>
        </w:rPr>
        <w:t xml:space="preserve">, que aparecen como complicación de la terapia </w:t>
      </w:r>
      <w:proofErr w:type="spellStart"/>
      <w:r w:rsidRPr="00B952D8">
        <w:rPr>
          <w:rFonts w:ascii="Arial Narrow" w:eastAsia="Calibri" w:hAnsi="Arial Narrow" w:cs="Times New Roman"/>
          <w:sz w:val="24"/>
          <w:szCs w:val="24"/>
          <w:lang w:val="es-ES_tradnl"/>
        </w:rPr>
        <w:t>antineoploasica</w:t>
      </w:r>
      <w:proofErr w:type="spellEnd"/>
      <w:r w:rsidRPr="00B952D8">
        <w:rPr>
          <w:rFonts w:ascii="Arial Narrow" w:eastAsia="Calibri" w:hAnsi="Arial Narrow" w:cs="Times New Roman"/>
          <w:sz w:val="24"/>
          <w:szCs w:val="24"/>
          <w:lang w:val="es-ES_tradnl"/>
        </w:rPr>
        <w:t xml:space="preserve"> en pacientes convalecientes de cáncer (5).</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Cuando un gas es sometido a alta presión y aumentamos su concentración al 100%, a diferencia de la concentración atmosférica que está al 21%, su gradiente de difusión se potencia y su solubilidad también, lo que permite una penetración profunda a los tejidos, que es lo que nos interesa. El oxígeno llega al tejido hipóxico en gran concentración, lo cual repercute en la recuperación del tejido. Según referencia la ley física de los gases, el proceso bioquímico de la hiperoxigenación y el efecto fisiológico que produce, el resultado de la terapia con oxígeno hiperbárico consiste en lo siguiente: el oxígeno se encuentra unido a la hemoglobina y circula por el torrente sanguíneo. La ley de Henry dice que un gas disuelto en un líquido es proporcional a la presión parcial de dicho gas. (2,7) Si tenemos en cuenta que en condiciones normales la hemoglobina tiene una mayor afinidad por el monóxido de carbono que por el oxígeno (10 veces mayor), esta terapia permite que la hiperoxigenación llegue a zonas donde incluso el riego sanguíneo no alcanza, a consecuencia de la isquemia, o donde el paso de sangre se encuentra obstruido y no llega oxígeno transportado (8) por tanto, resuelve o disminuye la isquemia y/o hipoxia tisular causada por déficit circulatorio.</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Mejora el metabolismo celular, la bioenergética aeróbica (</w:t>
      </w:r>
      <w:proofErr w:type="spellStart"/>
      <w:r w:rsidRPr="00B952D8">
        <w:rPr>
          <w:rFonts w:ascii="Arial Narrow" w:eastAsia="Calibri" w:hAnsi="Arial Narrow" w:cs="Times New Roman"/>
          <w:sz w:val="24"/>
          <w:szCs w:val="24"/>
          <w:lang w:val="es-ES_tradnl"/>
        </w:rPr>
        <w:t>ergosis</w:t>
      </w:r>
      <w:proofErr w:type="spellEnd"/>
      <w:r w:rsidRPr="00B952D8">
        <w:rPr>
          <w:rFonts w:ascii="Arial Narrow" w:eastAsia="Calibri" w:hAnsi="Arial Narrow" w:cs="Times New Roman"/>
          <w:sz w:val="24"/>
          <w:szCs w:val="24"/>
          <w:lang w:val="es-ES_tradnl"/>
        </w:rPr>
        <w:t xml:space="preserve"> mitocondrial) con el correspondiente control del pH y la </w:t>
      </w:r>
      <w:proofErr w:type="spellStart"/>
      <w:r w:rsidRPr="00B952D8">
        <w:rPr>
          <w:rFonts w:ascii="Arial Narrow" w:eastAsia="Calibri" w:hAnsi="Arial Narrow" w:cs="Times New Roman"/>
          <w:sz w:val="24"/>
          <w:szCs w:val="24"/>
          <w:lang w:val="es-ES_tradnl"/>
        </w:rPr>
        <w:t>citoprotección</w:t>
      </w:r>
      <w:proofErr w:type="spellEnd"/>
      <w:r w:rsidRPr="00B952D8">
        <w:rPr>
          <w:rFonts w:ascii="Arial Narrow" w:eastAsia="Calibri" w:hAnsi="Arial Narrow" w:cs="Times New Roman"/>
          <w:sz w:val="24"/>
          <w:szCs w:val="24"/>
          <w:lang w:val="es-ES_tradnl"/>
        </w:rPr>
        <w:t xml:space="preserve">. Disminuye el tamaño de la burbuja (embolismo aéreo). Disminuye el edema tisular.  Modulador de la angiogénesis y estimula la síntesis de colágeno, acelerando la cicatrización.  Demarca áreas necróticas separándolas claramente del tejido recuperable; y reactiva las células en penumbras. Modula la osteogénesis. Posee acción antibacteriana, antiviral, antimicótica e </w:t>
      </w:r>
      <w:proofErr w:type="spellStart"/>
      <w:r w:rsidRPr="00B952D8">
        <w:rPr>
          <w:rFonts w:ascii="Arial Narrow" w:eastAsia="Calibri" w:hAnsi="Arial Narrow" w:cs="Times New Roman"/>
          <w:sz w:val="24"/>
          <w:szCs w:val="24"/>
          <w:lang w:val="es-ES_tradnl"/>
        </w:rPr>
        <w:t>inmunomoduladora</w:t>
      </w:r>
      <w:proofErr w:type="spellEnd"/>
      <w:r w:rsidRPr="00B952D8">
        <w:rPr>
          <w:rFonts w:ascii="Arial Narrow" w:eastAsia="Calibri" w:hAnsi="Arial Narrow" w:cs="Times New Roman"/>
          <w:sz w:val="24"/>
          <w:szCs w:val="24"/>
          <w:lang w:val="es-ES_tradnl"/>
        </w:rPr>
        <w:t xml:space="preserve">, estimula las defensas del organismo, sensibiliza las células tumorales y protege las </w:t>
      </w:r>
      <w:proofErr w:type="spellStart"/>
      <w:r w:rsidRPr="00B952D8">
        <w:rPr>
          <w:rFonts w:ascii="Arial Narrow" w:eastAsia="Calibri" w:hAnsi="Arial Narrow" w:cs="Times New Roman"/>
          <w:sz w:val="24"/>
          <w:szCs w:val="24"/>
          <w:lang w:val="es-ES_tradnl"/>
        </w:rPr>
        <w:t>peritumorales</w:t>
      </w:r>
      <w:proofErr w:type="spellEnd"/>
      <w:r w:rsidRPr="00B952D8">
        <w:rPr>
          <w:rFonts w:ascii="Arial Narrow" w:eastAsia="Calibri" w:hAnsi="Arial Narrow" w:cs="Times New Roman"/>
          <w:sz w:val="24"/>
          <w:szCs w:val="24"/>
          <w:lang w:val="es-ES_tradnl"/>
        </w:rPr>
        <w:t xml:space="preserve"> de la  acción de las radiaciones y la quimioterapia. Regula la apoptosis y establece un equilibrio entre las especies reactivas del oxígeno  y los antioxidantes biológicos. Estimula los receptores hormonales y favorece la farmacodinamia de algunos medicamentos. (9,10) Aparte de la acción reductora de la efervescencia dependiente de la presión y la saturación de la hemoglobina que genera la hiperoxigenación de los tejidos, se ha argumentado que el efecto beneficioso de la terapia de oxigenación hiperbárica depende en parte de las funciones fisiológicas de las especies reactivas </w:t>
      </w:r>
      <w:r w:rsidRPr="00B952D8">
        <w:rPr>
          <w:rFonts w:ascii="Arial Narrow" w:eastAsia="Calibri" w:hAnsi="Arial Narrow" w:cs="Times New Roman"/>
          <w:sz w:val="24"/>
          <w:szCs w:val="24"/>
          <w:lang w:val="es-ES_tradnl"/>
        </w:rPr>
        <w:lastRenderedPageBreak/>
        <w:t xml:space="preserve">del oxígeno generadas.(11,12,13) </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El uso de oxígeno, no está exento de riesgos asociados por lo que su manipulación debe estar a mano de profesionales.  Las complicaciones y los efectos adversos han sido poco reportados en la literatura científica. (1)</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El punto más importante en el tratamiento con OHB es la dosis a utilizar, la misma se define como la combinación de la presión utilizada (hasta 3 ATA), el tiempo de exposición (máximo 90 minutos) así como frecuencia y las veces que se administra, en dependencia de la enfermedad y la evolución, cuando la dosis utilizada no es la adecuada aparecen una serie de complicaciones relacionadas con los cambios de presión y los efectos tóxicos del oxígeno.</w:t>
      </w:r>
    </w:p>
    <w:p w:rsidR="00B24394" w:rsidRPr="00B952D8" w:rsidRDefault="00B24394" w:rsidP="00B24394">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 La complicación más frecuente dependiente del efecto volumétrico en el tratamiento de OHB es el </w:t>
      </w:r>
      <w:proofErr w:type="spellStart"/>
      <w:r w:rsidRPr="00B952D8">
        <w:rPr>
          <w:rFonts w:ascii="Arial Narrow" w:eastAsia="Calibri" w:hAnsi="Arial Narrow" w:cs="Times New Roman"/>
          <w:sz w:val="24"/>
          <w:szCs w:val="24"/>
          <w:lang w:val="es-ES_tradnl"/>
        </w:rPr>
        <w:t>barotrauma</w:t>
      </w:r>
      <w:proofErr w:type="spellEnd"/>
      <w:r w:rsidRPr="00B952D8">
        <w:rPr>
          <w:rFonts w:ascii="Arial Narrow" w:eastAsia="Calibri" w:hAnsi="Arial Narrow" w:cs="Times New Roman"/>
          <w:sz w:val="24"/>
          <w:szCs w:val="24"/>
          <w:lang w:val="es-ES_tradnl"/>
        </w:rPr>
        <w:t xml:space="preserve"> de oído medio, se presenta en el 2% de los casos. (14, 15) Los cuales se han tratado de minimizar, disminuyendo la velocidad de compresión y descompresión. (16, 17,18)  Los efectos tóxicos del oxígeno, a su vez se dividen en dos: el estrés oxidativo y la toxicidad del O2. El estrés oxidativo se debe a la generación en exceso de radicales libres y otras especies reactivas del oxígeno, lo cual conlleva a la oxidación de compuestos endógenos. Tiende a ser de impacto local y temporal y no suele dejar secuelas evidentes a largo plazo.(17) La intoxicación aguda por oxigeno genera en el organismo una serie de manifestaciones neurológicas como ansiedad y crisis de epilepsia(17), por otra parte el edema pulmonar, las atelectasias y el dolor torácico son secundarios a la intoxicación crónica del oxígeno. (15)</w:t>
      </w:r>
    </w:p>
    <w:p w:rsidR="00B24394" w:rsidRPr="00B24394" w:rsidRDefault="00B24394" w:rsidP="00B24394">
      <w:pPr>
        <w:spacing w:after="160" w:line="360" w:lineRule="auto"/>
        <w:jc w:val="both"/>
        <w:rPr>
          <w:rFonts w:ascii="Times New Roman" w:eastAsia="Calibri" w:hAnsi="Times New Roman" w:cs="Times New Roman"/>
          <w:sz w:val="24"/>
          <w:szCs w:val="24"/>
          <w:vertAlign w:val="superscript"/>
          <w:lang w:val="es-ES_tradnl"/>
        </w:rPr>
      </w:pPr>
      <w:r w:rsidRPr="00B952D8">
        <w:rPr>
          <w:rFonts w:ascii="Arial Narrow" w:eastAsia="Calibri" w:hAnsi="Arial Narrow" w:cs="Times New Roman"/>
          <w:sz w:val="24"/>
          <w:szCs w:val="24"/>
          <w:lang w:val="es-ES_tradnl"/>
        </w:rPr>
        <w:t xml:space="preserve">Según literaturas revisadas se describen como contraindicaciones las enfermedades cardiovasculares, sinusitis y claustrofobia. (19, 20) La terapia con OHB tan solo tiene una contraindicación absoluta y se trata del neumotórax no tratado. Asimismo, podemos encontrar otras contraindicaciones relativas como el enfisema con bullas, fiebre alta incontrolada, embarazo, e historia quirúrgica torácica o de oído. (21) Por otra parte, hay algunos fármacos como la </w:t>
      </w:r>
      <w:proofErr w:type="spellStart"/>
      <w:r w:rsidRPr="00B952D8">
        <w:rPr>
          <w:rFonts w:ascii="Arial Narrow" w:eastAsia="Calibri" w:hAnsi="Arial Narrow" w:cs="Times New Roman"/>
          <w:sz w:val="24"/>
          <w:szCs w:val="24"/>
          <w:lang w:val="es-ES_tradnl"/>
        </w:rPr>
        <w:t>doxorubicina</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disulfiram</w:t>
      </w:r>
      <w:proofErr w:type="spellEnd"/>
      <w:r w:rsidRPr="00B952D8">
        <w:rPr>
          <w:rFonts w:ascii="Arial Narrow" w:eastAsia="Calibri" w:hAnsi="Arial Narrow" w:cs="Times New Roman"/>
          <w:sz w:val="24"/>
          <w:szCs w:val="24"/>
          <w:lang w:val="es-ES_tradnl"/>
        </w:rPr>
        <w:t xml:space="preserve">, cisplatino y/o acetato de </w:t>
      </w:r>
      <w:proofErr w:type="spellStart"/>
      <w:r w:rsidRPr="00B952D8">
        <w:rPr>
          <w:rFonts w:ascii="Arial Narrow" w:eastAsia="Calibri" w:hAnsi="Arial Narrow" w:cs="Times New Roman"/>
          <w:sz w:val="24"/>
          <w:szCs w:val="24"/>
          <w:lang w:val="es-ES_tradnl"/>
        </w:rPr>
        <w:t>mafenida</w:t>
      </w:r>
      <w:proofErr w:type="spellEnd"/>
      <w:r w:rsidRPr="00B952D8">
        <w:rPr>
          <w:rFonts w:ascii="Arial Narrow" w:eastAsia="Calibri" w:hAnsi="Arial Narrow" w:cs="Times New Roman"/>
          <w:sz w:val="24"/>
          <w:szCs w:val="24"/>
          <w:lang w:val="es-ES_tradnl"/>
        </w:rPr>
        <w:t xml:space="preserve"> que se deberán discontinuar antes de iniciar la terapia con OHB. (21,22)</w:t>
      </w:r>
    </w:p>
    <w:p w:rsidR="00B24394" w:rsidRPr="00B952D8" w:rsidRDefault="0015750F" w:rsidP="00B24394">
      <w:pPr>
        <w:spacing w:after="160" w:line="360" w:lineRule="auto"/>
        <w:jc w:val="both"/>
        <w:rPr>
          <w:rFonts w:ascii="Arial Narrow" w:eastAsia="Calibri" w:hAnsi="Arial Narrow" w:cs="Times New Roman"/>
          <w:sz w:val="24"/>
          <w:szCs w:val="24"/>
          <w:lang w:val="es-ES_tradnl"/>
        </w:rPr>
      </w:pPr>
      <w:r w:rsidRPr="0015750F">
        <w:rPr>
          <w:rFonts w:ascii="Arial Narrow" w:eastAsia="Calibri" w:hAnsi="Arial Narrow" w:cs="Times New Roman"/>
          <w:sz w:val="24"/>
          <w:szCs w:val="24"/>
          <w:lang w:val="es-ES_tradnl"/>
        </w:rPr>
        <w:t>Podemos concluir</w:t>
      </w:r>
      <w:r>
        <w:rPr>
          <w:rFonts w:ascii="Arial Narrow" w:eastAsia="Calibri" w:hAnsi="Arial Narrow" w:cs="Times New Roman"/>
          <w:sz w:val="24"/>
          <w:szCs w:val="24"/>
          <w:lang w:val="es-ES_tradnl"/>
        </w:rPr>
        <w:t xml:space="preserve"> e</w:t>
      </w:r>
      <w:r w:rsidR="00B24394" w:rsidRPr="00B952D8">
        <w:rPr>
          <w:rFonts w:ascii="Arial Narrow" w:eastAsia="Calibri" w:hAnsi="Arial Narrow" w:cs="Times New Roman"/>
          <w:sz w:val="24"/>
          <w:szCs w:val="24"/>
          <w:lang w:val="es-ES_tradnl"/>
        </w:rPr>
        <w:t xml:space="preserve">l uso de la terapia de OHB ha evolucionado a lo largo del tiempo generándole importantes aportes a la ciencia. La mayoría de los registros muestran que la OHB  es un método terapéutico eficaz en aquellas enfermedades con base isquémica, siendo considerada una terapéutica segura, confiable, que mejora la calidad de vida del paciente además de proporcionarle ahorros económicos considerables, lo cual genera un impacto positivo en la salud </w:t>
      </w:r>
      <w:r w:rsidR="00B24394" w:rsidRPr="00B952D8">
        <w:rPr>
          <w:rFonts w:ascii="Arial Narrow" w:eastAsia="Calibri" w:hAnsi="Arial Narrow" w:cs="Times New Roman"/>
          <w:sz w:val="24"/>
          <w:szCs w:val="24"/>
          <w:lang w:val="es-ES_tradnl"/>
        </w:rPr>
        <w:lastRenderedPageBreak/>
        <w:t>del paciente que lo requiera.</w:t>
      </w:r>
    </w:p>
    <w:p w:rsidR="00B24394" w:rsidRPr="00B24394" w:rsidRDefault="00B24394" w:rsidP="00B24394">
      <w:pPr>
        <w:spacing w:after="160" w:line="360" w:lineRule="auto"/>
        <w:jc w:val="both"/>
        <w:rPr>
          <w:rFonts w:ascii="Times New Roman" w:eastAsia="Calibri" w:hAnsi="Times New Roman" w:cs="Times New Roman"/>
          <w:b/>
          <w:sz w:val="28"/>
          <w:szCs w:val="28"/>
          <w:lang w:val="es-ES_tradnl"/>
        </w:rPr>
      </w:pPr>
      <w:r w:rsidRPr="00B24394">
        <w:rPr>
          <w:rFonts w:ascii="Times New Roman" w:eastAsia="Calibri" w:hAnsi="Times New Roman" w:cs="Times New Roman"/>
          <w:b/>
          <w:sz w:val="28"/>
          <w:szCs w:val="28"/>
          <w:lang w:val="es-ES_tradnl"/>
        </w:rPr>
        <w:t>Referencias.</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1- Tobar-Escudero K, </w:t>
      </w:r>
      <w:proofErr w:type="spellStart"/>
      <w:r w:rsidRPr="00B952D8">
        <w:rPr>
          <w:rFonts w:ascii="Arial Narrow" w:eastAsia="Calibri" w:hAnsi="Arial Narrow" w:cs="Times New Roman"/>
          <w:sz w:val="24"/>
          <w:szCs w:val="24"/>
          <w:lang w:val="es-ES_tradnl"/>
        </w:rPr>
        <w:t>Pluas</w:t>
      </w:r>
      <w:proofErr w:type="spellEnd"/>
      <w:r w:rsidRPr="00B952D8">
        <w:rPr>
          <w:rFonts w:ascii="Arial Narrow" w:eastAsia="Calibri" w:hAnsi="Arial Narrow" w:cs="Times New Roman"/>
          <w:sz w:val="24"/>
          <w:szCs w:val="24"/>
          <w:lang w:val="es-ES_tradnl"/>
        </w:rPr>
        <w:t>-Mejías I, Gaibor-Barahona C, Espín-Guerrero D, Chico-Yépez W. Terapia de Oxigenación Hiperbárica: Método multipropósito eficaz [Internet].  Correo Científico Médico</w:t>
      </w:r>
      <w:r w:rsidR="00D557AD">
        <w:rPr>
          <w:rFonts w:ascii="Arial Narrow" w:eastAsia="Calibri" w:hAnsi="Arial Narrow" w:cs="Times New Roman"/>
          <w:sz w:val="24"/>
          <w:szCs w:val="24"/>
          <w:lang w:val="es-ES_tradnl"/>
        </w:rPr>
        <w:t>. 2023  [acceso: 15/06/2024]</w:t>
      </w:r>
      <w:r w:rsidRPr="00B952D8">
        <w:rPr>
          <w:rFonts w:ascii="Arial Narrow" w:eastAsia="Calibri" w:hAnsi="Arial Narrow" w:cs="Times New Roman"/>
          <w:sz w:val="24"/>
          <w:szCs w:val="24"/>
          <w:lang w:val="es-ES_tradnl"/>
        </w:rPr>
        <w:t xml:space="preserve">; 26 (4) Disponible en: </w:t>
      </w:r>
      <w:hyperlink r:id="rId7" w:history="1">
        <w:r w:rsidRPr="00B952D8">
          <w:rPr>
            <w:rFonts w:ascii="Arial Narrow" w:eastAsia="Calibri" w:hAnsi="Arial Narrow" w:cs="Times New Roman"/>
            <w:sz w:val="24"/>
            <w:szCs w:val="24"/>
            <w:lang w:val="es-ES_tradnl"/>
          </w:rPr>
          <w:t>https://revcocmed.sld.cu/index.php/cocmed/article/view/4655</w:t>
        </w:r>
      </w:hyperlink>
      <w:r w:rsidRPr="00B952D8">
        <w:rPr>
          <w:rFonts w:ascii="Arial Narrow" w:eastAsia="Calibri" w:hAnsi="Arial Narrow" w:cs="Times New Roman"/>
          <w:sz w:val="24"/>
          <w:szCs w:val="24"/>
          <w:lang w:val="es-ES_tradnl"/>
        </w:rPr>
        <w:t xml:space="preserve"> </w:t>
      </w:r>
    </w:p>
    <w:p w:rsidR="00B24394" w:rsidRPr="00BA694D" w:rsidRDefault="00B24394" w:rsidP="00B952D8">
      <w:pPr>
        <w:spacing w:after="160" w:line="360" w:lineRule="auto"/>
        <w:jc w:val="both"/>
        <w:rPr>
          <w:rFonts w:ascii="Arial Narrow" w:eastAsia="Calibri" w:hAnsi="Arial Narrow" w:cs="Times New Roman"/>
          <w:sz w:val="24"/>
          <w:szCs w:val="24"/>
          <w:lang w:val="en-US"/>
        </w:rPr>
      </w:pPr>
      <w:r w:rsidRPr="00BA694D">
        <w:rPr>
          <w:rFonts w:ascii="Arial Narrow" w:eastAsia="Calibri" w:hAnsi="Arial Narrow" w:cs="Times New Roman"/>
          <w:sz w:val="24"/>
          <w:szCs w:val="24"/>
          <w:lang w:val="en-US"/>
        </w:rPr>
        <w:t>2</w:t>
      </w:r>
      <w:proofErr w:type="gramStart"/>
      <w:r w:rsidRPr="00BA694D">
        <w:rPr>
          <w:rFonts w:ascii="Arial Narrow" w:eastAsia="Calibri" w:hAnsi="Arial Narrow" w:cs="Times New Roman"/>
          <w:sz w:val="24"/>
          <w:szCs w:val="24"/>
          <w:lang w:val="en-US"/>
        </w:rPr>
        <w:t>-  Gottlieb</w:t>
      </w:r>
      <w:proofErr w:type="gramEnd"/>
      <w:r w:rsidRPr="00BA694D">
        <w:rPr>
          <w:rFonts w:ascii="Arial Narrow" w:eastAsia="Calibri" w:hAnsi="Arial Narrow" w:cs="Times New Roman"/>
          <w:sz w:val="24"/>
          <w:szCs w:val="24"/>
          <w:lang w:val="en-US"/>
        </w:rPr>
        <w:t xml:space="preserve"> J, Capetian P, </w:t>
      </w:r>
      <w:proofErr w:type="spellStart"/>
      <w:r w:rsidRPr="00BA694D">
        <w:rPr>
          <w:rFonts w:ascii="Arial Narrow" w:eastAsia="Calibri" w:hAnsi="Arial Narrow" w:cs="Times New Roman"/>
          <w:sz w:val="24"/>
          <w:szCs w:val="24"/>
          <w:lang w:val="en-US"/>
        </w:rPr>
        <w:t>Hamsen</w:t>
      </w:r>
      <w:proofErr w:type="spellEnd"/>
      <w:r w:rsidRPr="00BA694D">
        <w:rPr>
          <w:rFonts w:ascii="Arial Narrow" w:eastAsia="Calibri" w:hAnsi="Arial Narrow" w:cs="Times New Roman"/>
          <w:sz w:val="24"/>
          <w:szCs w:val="24"/>
          <w:lang w:val="en-US"/>
        </w:rPr>
        <w:t xml:space="preserve"> U, Janssens U, </w:t>
      </w:r>
      <w:proofErr w:type="spellStart"/>
      <w:r w:rsidRPr="00BA694D">
        <w:rPr>
          <w:rFonts w:ascii="Arial Narrow" w:eastAsia="Calibri" w:hAnsi="Arial Narrow" w:cs="Times New Roman"/>
          <w:sz w:val="24"/>
          <w:szCs w:val="24"/>
          <w:lang w:val="en-US"/>
        </w:rPr>
        <w:t>Karagiannidis</w:t>
      </w:r>
      <w:proofErr w:type="spellEnd"/>
      <w:r w:rsidRPr="00BA694D">
        <w:rPr>
          <w:rFonts w:ascii="Arial Narrow" w:eastAsia="Calibri" w:hAnsi="Arial Narrow" w:cs="Times New Roman"/>
          <w:sz w:val="24"/>
          <w:szCs w:val="24"/>
          <w:lang w:val="en-US"/>
        </w:rPr>
        <w:t xml:space="preserve"> C, Kluge S, </w:t>
      </w:r>
      <w:proofErr w:type="spellStart"/>
      <w:r w:rsidRPr="00BA694D">
        <w:rPr>
          <w:rFonts w:ascii="Arial Narrow" w:eastAsia="Calibri" w:hAnsi="Arial Narrow" w:cs="Times New Roman"/>
          <w:sz w:val="24"/>
          <w:szCs w:val="24"/>
          <w:lang w:val="en-US"/>
        </w:rPr>
        <w:t>Nothacker</w:t>
      </w:r>
      <w:proofErr w:type="spellEnd"/>
      <w:r w:rsidRPr="00BA694D">
        <w:rPr>
          <w:rFonts w:ascii="Arial Narrow" w:eastAsia="Calibri" w:hAnsi="Arial Narrow" w:cs="Times New Roman"/>
          <w:sz w:val="24"/>
          <w:szCs w:val="24"/>
          <w:lang w:val="en-US"/>
        </w:rPr>
        <w:t xml:space="preserve"> M, </w:t>
      </w:r>
      <w:proofErr w:type="spellStart"/>
      <w:r w:rsidRPr="00BA694D">
        <w:rPr>
          <w:rFonts w:ascii="Arial Narrow" w:eastAsia="Calibri" w:hAnsi="Arial Narrow" w:cs="Times New Roman"/>
          <w:sz w:val="24"/>
          <w:szCs w:val="24"/>
          <w:lang w:val="en-US"/>
        </w:rPr>
        <w:t>Roiter</w:t>
      </w:r>
      <w:proofErr w:type="spellEnd"/>
      <w:r w:rsidRPr="00BA694D">
        <w:rPr>
          <w:rFonts w:ascii="Arial Narrow" w:eastAsia="Calibri" w:hAnsi="Arial Narrow" w:cs="Times New Roman"/>
          <w:sz w:val="24"/>
          <w:szCs w:val="24"/>
          <w:lang w:val="en-US"/>
        </w:rPr>
        <w:t xml:space="preserve"> S, Volk T, Worth H, </w:t>
      </w:r>
      <w:proofErr w:type="spellStart"/>
      <w:r w:rsidRPr="00BA694D">
        <w:rPr>
          <w:rFonts w:ascii="Arial Narrow" w:eastAsia="Calibri" w:hAnsi="Arial Narrow" w:cs="Times New Roman"/>
          <w:sz w:val="24"/>
          <w:szCs w:val="24"/>
          <w:lang w:val="en-US"/>
        </w:rPr>
        <w:t>Fühner</w:t>
      </w:r>
      <w:proofErr w:type="spellEnd"/>
      <w:r w:rsidRPr="00BA694D">
        <w:rPr>
          <w:rFonts w:ascii="Arial Narrow" w:eastAsia="Calibri" w:hAnsi="Arial Narrow" w:cs="Times New Roman"/>
          <w:sz w:val="24"/>
          <w:szCs w:val="24"/>
          <w:lang w:val="en-US"/>
        </w:rPr>
        <w:t xml:space="preserve"> T. German S3 Guideline: Oxygen Therapy in the Acute Care of Adult Patients. Respiration. 2022;101(2):214-252. DOI: 10.1159/000520294.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A694D">
        <w:rPr>
          <w:rFonts w:ascii="Arial Narrow" w:eastAsia="Calibri" w:hAnsi="Arial Narrow" w:cs="Times New Roman"/>
          <w:sz w:val="24"/>
          <w:szCs w:val="24"/>
          <w:lang w:val="en-US"/>
        </w:rPr>
        <w:t xml:space="preserve">3- </w:t>
      </w:r>
      <w:proofErr w:type="spellStart"/>
      <w:r w:rsidRPr="00BA694D">
        <w:rPr>
          <w:rFonts w:ascii="Arial Narrow" w:eastAsia="Calibri" w:hAnsi="Arial Narrow" w:cs="Times New Roman"/>
          <w:sz w:val="24"/>
          <w:szCs w:val="24"/>
          <w:lang w:val="en-US"/>
        </w:rPr>
        <w:t>Cannellotto</w:t>
      </w:r>
      <w:proofErr w:type="spellEnd"/>
      <w:r w:rsidRPr="00BA694D">
        <w:rPr>
          <w:rFonts w:ascii="Arial Narrow" w:eastAsia="Calibri" w:hAnsi="Arial Narrow" w:cs="Times New Roman"/>
          <w:sz w:val="24"/>
          <w:szCs w:val="24"/>
          <w:lang w:val="en-US"/>
        </w:rPr>
        <w:t xml:space="preserve"> M, </w:t>
      </w:r>
      <w:proofErr w:type="spellStart"/>
      <w:r w:rsidRPr="00BA694D">
        <w:rPr>
          <w:rFonts w:ascii="Arial Narrow" w:eastAsia="Calibri" w:hAnsi="Arial Narrow" w:cs="Times New Roman"/>
          <w:sz w:val="24"/>
          <w:szCs w:val="24"/>
          <w:lang w:val="en-US"/>
        </w:rPr>
        <w:t>Yasells</w:t>
      </w:r>
      <w:proofErr w:type="spellEnd"/>
      <w:r w:rsidRPr="00BA694D">
        <w:rPr>
          <w:rFonts w:ascii="Arial Narrow" w:eastAsia="Calibri" w:hAnsi="Arial Narrow" w:cs="Times New Roman"/>
          <w:sz w:val="24"/>
          <w:szCs w:val="24"/>
          <w:lang w:val="en-US"/>
        </w:rPr>
        <w:t xml:space="preserve"> García A, </w:t>
      </w:r>
      <w:proofErr w:type="spellStart"/>
      <w:r w:rsidRPr="00BA694D">
        <w:rPr>
          <w:rFonts w:ascii="Arial Narrow" w:eastAsia="Calibri" w:hAnsi="Arial Narrow" w:cs="Times New Roman"/>
          <w:sz w:val="24"/>
          <w:szCs w:val="24"/>
          <w:lang w:val="en-US"/>
        </w:rPr>
        <w:t>Landa</w:t>
      </w:r>
      <w:proofErr w:type="spellEnd"/>
      <w:r w:rsidRPr="00BA694D">
        <w:rPr>
          <w:rFonts w:ascii="Arial Narrow" w:eastAsia="Calibri" w:hAnsi="Arial Narrow" w:cs="Times New Roman"/>
          <w:sz w:val="24"/>
          <w:szCs w:val="24"/>
          <w:lang w:val="en-US"/>
        </w:rPr>
        <w:t xml:space="preserve"> MS. Hyperoxia: Effective Mechanism of Hyperbaric Treatment at Mild-Pressure. </w:t>
      </w:r>
      <w:r w:rsidRPr="00B952D8">
        <w:rPr>
          <w:rFonts w:ascii="Arial Narrow" w:eastAsia="Calibri" w:hAnsi="Arial Narrow" w:cs="Times New Roman"/>
          <w:sz w:val="24"/>
          <w:szCs w:val="24"/>
          <w:lang w:val="es-ES_tradnl"/>
        </w:rPr>
        <w:t xml:space="preserve">International </w:t>
      </w:r>
      <w:proofErr w:type="spellStart"/>
      <w:r w:rsidRPr="00B952D8">
        <w:rPr>
          <w:rFonts w:ascii="Arial Narrow" w:eastAsia="Calibri" w:hAnsi="Arial Narrow" w:cs="Times New Roman"/>
          <w:sz w:val="24"/>
          <w:szCs w:val="24"/>
          <w:lang w:val="es-ES_tradnl"/>
        </w:rPr>
        <w:t>Journal</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of</w:t>
      </w:r>
      <w:proofErr w:type="spellEnd"/>
      <w:r w:rsidRPr="00B952D8">
        <w:rPr>
          <w:rFonts w:ascii="Arial Narrow" w:eastAsia="Calibri" w:hAnsi="Arial Narrow" w:cs="Times New Roman"/>
          <w:sz w:val="24"/>
          <w:szCs w:val="24"/>
          <w:lang w:val="es-ES_tradnl"/>
        </w:rPr>
        <w:t xml:space="preserve"> Molecular Sciences. 2024; 25(2):777.DOI.10.3390/ijms25020777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A694D">
        <w:rPr>
          <w:rFonts w:ascii="Arial Narrow" w:eastAsia="Calibri" w:hAnsi="Arial Narrow" w:cs="Times New Roman"/>
          <w:sz w:val="24"/>
          <w:szCs w:val="24"/>
          <w:lang w:val="en-US"/>
        </w:rPr>
        <w:t xml:space="preserve">4- Leung JK, Lam RP. Hyperbaric oxygen therapy: its use in medical emergencies and its development in Hong Kong. </w:t>
      </w:r>
      <w:r w:rsidRPr="00B952D8">
        <w:rPr>
          <w:rFonts w:ascii="Arial Narrow" w:eastAsia="Calibri" w:hAnsi="Arial Narrow" w:cs="Times New Roman"/>
          <w:sz w:val="24"/>
          <w:szCs w:val="24"/>
          <w:lang w:val="es-ES_tradnl"/>
        </w:rPr>
        <w:t xml:space="preserve">Hong Kong </w:t>
      </w:r>
      <w:proofErr w:type="spellStart"/>
      <w:r w:rsidRPr="00B952D8">
        <w:rPr>
          <w:rFonts w:ascii="Arial Narrow" w:eastAsia="Calibri" w:hAnsi="Arial Narrow" w:cs="Times New Roman"/>
          <w:sz w:val="24"/>
          <w:szCs w:val="24"/>
          <w:lang w:val="es-ES_tradnl"/>
        </w:rPr>
        <w:t>Med</w:t>
      </w:r>
      <w:proofErr w:type="spellEnd"/>
      <w:r w:rsidRPr="00B952D8">
        <w:rPr>
          <w:rFonts w:ascii="Arial Narrow" w:eastAsia="Calibri" w:hAnsi="Arial Narrow" w:cs="Times New Roman"/>
          <w:sz w:val="24"/>
          <w:szCs w:val="24"/>
          <w:lang w:val="es-ES_tradnl"/>
        </w:rPr>
        <w:t xml:space="preserve"> J. 2018 Apr;24(2):191-199. </w:t>
      </w:r>
      <w:proofErr w:type="spellStart"/>
      <w:r w:rsidRPr="00B952D8">
        <w:rPr>
          <w:rFonts w:ascii="Arial Narrow" w:eastAsia="Calibri" w:hAnsi="Arial Narrow" w:cs="Times New Roman"/>
          <w:sz w:val="24"/>
          <w:szCs w:val="24"/>
          <w:lang w:val="es-ES_tradnl"/>
        </w:rPr>
        <w:t>doi</w:t>
      </w:r>
      <w:proofErr w:type="spellEnd"/>
      <w:r w:rsidRPr="00B952D8">
        <w:rPr>
          <w:rFonts w:ascii="Arial Narrow" w:eastAsia="Calibri" w:hAnsi="Arial Narrow" w:cs="Times New Roman"/>
          <w:sz w:val="24"/>
          <w:szCs w:val="24"/>
          <w:lang w:val="es-ES_tradnl"/>
        </w:rPr>
        <w:t xml:space="preserve">: 10.12809/hkmj176875.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5- Travieso Marcial Mayte, Villarreal Crespo Sonia, Iglesias González </w:t>
      </w:r>
      <w:proofErr w:type="spellStart"/>
      <w:r w:rsidRPr="00B952D8">
        <w:rPr>
          <w:rFonts w:ascii="Arial Narrow" w:eastAsia="Calibri" w:hAnsi="Arial Narrow" w:cs="Times New Roman"/>
          <w:sz w:val="24"/>
          <w:szCs w:val="24"/>
          <w:lang w:val="es-ES_tradnl"/>
        </w:rPr>
        <w:t>Marbelia</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Demósthenes</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Sterling</w:t>
      </w:r>
      <w:proofErr w:type="spellEnd"/>
      <w:r w:rsidRPr="00B952D8">
        <w:rPr>
          <w:rFonts w:ascii="Arial Narrow" w:eastAsia="Calibri" w:hAnsi="Arial Narrow" w:cs="Times New Roman"/>
          <w:sz w:val="24"/>
          <w:szCs w:val="24"/>
          <w:lang w:val="es-ES_tradnl"/>
        </w:rPr>
        <w:t xml:space="preserve"> Anahí. Impacto social del Servicio de Oxigenación Hiperbárica en Barinas [Internet</w:t>
      </w:r>
      <w:proofErr w:type="gramStart"/>
      <w:r w:rsidRPr="00B952D8">
        <w:rPr>
          <w:rFonts w:ascii="Arial Narrow" w:eastAsia="Calibri" w:hAnsi="Arial Narrow" w:cs="Times New Roman"/>
          <w:sz w:val="24"/>
          <w:szCs w:val="24"/>
          <w:lang w:val="es-ES_tradnl"/>
        </w:rPr>
        <w:t>]  .</w:t>
      </w:r>
      <w:proofErr w:type="gram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Rev</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Hum</w:t>
      </w:r>
      <w:proofErr w:type="spellEnd"/>
      <w:r w:rsidRPr="00B952D8">
        <w:rPr>
          <w:rFonts w:ascii="Arial Narrow" w:eastAsia="Calibri" w:hAnsi="Arial Narrow" w:cs="Times New Roman"/>
          <w:sz w:val="24"/>
          <w:szCs w:val="24"/>
          <w:lang w:val="es-ES_tradnl"/>
        </w:rPr>
        <w:t xml:space="preserve"> </w:t>
      </w:r>
      <w:proofErr w:type="spellStart"/>
      <w:proofErr w:type="gramStart"/>
      <w:r w:rsidRPr="00B952D8">
        <w:rPr>
          <w:rFonts w:ascii="Arial Narrow" w:eastAsia="Calibri" w:hAnsi="Arial Narrow" w:cs="Times New Roman"/>
          <w:sz w:val="24"/>
          <w:szCs w:val="24"/>
          <w:lang w:val="es-ES_tradnl"/>
        </w:rPr>
        <w:t>Med</w:t>
      </w:r>
      <w:proofErr w:type="spellEnd"/>
      <w:r w:rsidRPr="00B952D8">
        <w:rPr>
          <w:rFonts w:ascii="Arial Narrow" w:eastAsia="Calibri" w:hAnsi="Arial Narrow" w:cs="Times New Roman"/>
          <w:sz w:val="24"/>
          <w:szCs w:val="24"/>
          <w:lang w:val="es-ES_tradnl"/>
        </w:rPr>
        <w:t>  2019</w:t>
      </w:r>
      <w:proofErr w:type="gram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Ago</w:t>
      </w:r>
      <w:proofErr w:type="spellEnd"/>
      <w:r w:rsidRPr="00B952D8">
        <w:rPr>
          <w:rFonts w:ascii="Arial Narrow" w:eastAsia="Calibri" w:hAnsi="Arial Narrow" w:cs="Times New Roman"/>
          <w:sz w:val="24"/>
          <w:szCs w:val="24"/>
          <w:lang w:val="es-ES_tradnl"/>
        </w:rPr>
        <w:t xml:space="preserve"> [acceso: 15/06/2024]  ;  19( 2 ): 236-255. Disponible en: </w:t>
      </w:r>
      <w:hyperlink r:id="rId8" w:history="1">
        <w:r w:rsidRPr="00B952D8">
          <w:rPr>
            <w:rFonts w:ascii="Arial Narrow" w:eastAsia="Calibri" w:hAnsi="Arial Narrow" w:cs="Times New Roman"/>
            <w:sz w:val="24"/>
            <w:szCs w:val="24"/>
            <w:lang w:val="es-ES_tradnl"/>
          </w:rPr>
          <w:t>http://scielo.sld.cu/scielo.php?script=sci_arttext&amp;pid=S1727-81202019000200236&amp;lng=es</w:t>
        </w:r>
      </w:hyperlink>
      <w:r w:rsidRPr="00B952D8">
        <w:rPr>
          <w:rFonts w:ascii="Arial Narrow" w:eastAsia="Calibri" w:hAnsi="Arial Narrow" w:cs="Times New Roman"/>
          <w:sz w:val="24"/>
          <w:szCs w:val="24"/>
          <w:lang w:val="es-ES_tradnl"/>
        </w:rPr>
        <w:t>.</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6-Cannellotto M, Romero </w:t>
      </w:r>
      <w:proofErr w:type="spellStart"/>
      <w:r w:rsidRPr="00B952D8">
        <w:rPr>
          <w:rFonts w:ascii="Arial Narrow" w:eastAsia="Calibri" w:hAnsi="Arial Narrow" w:cs="Times New Roman"/>
          <w:sz w:val="24"/>
          <w:szCs w:val="24"/>
          <w:lang w:val="es-ES_tradnl"/>
        </w:rPr>
        <w:t>Feris</w:t>
      </w:r>
      <w:proofErr w:type="spellEnd"/>
      <w:r w:rsidRPr="00B952D8">
        <w:rPr>
          <w:rFonts w:ascii="Arial Narrow" w:eastAsia="Calibri" w:hAnsi="Arial Narrow" w:cs="Times New Roman"/>
          <w:sz w:val="24"/>
          <w:szCs w:val="24"/>
          <w:lang w:val="es-ES_tradnl"/>
        </w:rPr>
        <w:t xml:space="preserve"> D, Mercedes </w:t>
      </w:r>
      <w:proofErr w:type="spellStart"/>
      <w:r w:rsidRPr="00B952D8">
        <w:rPr>
          <w:rFonts w:ascii="Arial Narrow" w:eastAsia="Calibri" w:hAnsi="Arial Narrow" w:cs="Times New Roman"/>
          <w:sz w:val="24"/>
          <w:szCs w:val="24"/>
          <w:lang w:val="es-ES_tradnl"/>
        </w:rPr>
        <w:t>Pascuccio</w:t>
      </w:r>
      <w:proofErr w:type="spellEnd"/>
      <w:r w:rsidRPr="00B952D8">
        <w:rPr>
          <w:rFonts w:ascii="Arial Narrow" w:eastAsia="Calibri" w:hAnsi="Arial Narrow" w:cs="Times New Roman"/>
          <w:sz w:val="24"/>
          <w:szCs w:val="24"/>
          <w:lang w:val="es-ES_tradnl"/>
        </w:rPr>
        <w:t xml:space="preserve"> MM, Jordá Vargas L. Aplicaciones médicas de las cámaras de oxigenación hiperbárica de nueva generación [Internet</w:t>
      </w:r>
      <w:proofErr w:type="gramStart"/>
      <w:r w:rsidRPr="00B952D8">
        <w:rPr>
          <w:rFonts w:ascii="Arial Narrow" w:eastAsia="Calibri" w:hAnsi="Arial Narrow" w:cs="Times New Roman"/>
          <w:sz w:val="24"/>
          <w:szCs w:val="24"/>
          <w:lang w:val="es-ES_tradnl"/>
        </w:rPr>
        <w:t>] .</w:t>
      </w:r>
      <w:proofErr w:type="gramEnd"/>
      <w:r w:rsidRPr="00B952D8">
        <w:rPr>
          <w:rFonts w:ascii="Arial Narrow" w:eastAsia="Calibri" w:hAnsi="Arial Narrow" w:cs="Times New Roman"/>
          <w:sz w:val="24"/>
          <w:szCs w:val="24"/>
          <w:lang w:val="es-ES_tradnl"/>
        </w:rPr>
        <w:t xml:space="preserve"> AMA   2018 [acceso: 15/06/2024] ;131(4):12-20. Disponible en: </w:t>
      </w:r>
    </w:p>
    <w:p w:rsidR="00B24394" w:rsidRPr="00B952D8" w:rsidRDefault="00BA694D" w:rsidP="00B952D8">
      <w:pPr>
        <w:spacing w:after="160" w:line="360" w:lineRule="auto"/>
        <w:jc w:val="both"/>
        <w:rPr>
          <w:rFonts w:ascii="Arial Narrow" w:eastAsia="Calibri" w:hAnsi="Arial Narrow" w:cs="Times New Roman"/>
          <w:sz w:val="24"/>
          <w:szCs w:val="24"/>
          <w:lang w:val="es-ES_tradnl"/>
        </w:rPr>
      </w:pPr>
      <w:hyperlink r:id="rId9" w:history="1">
        <w:r w:rsidR="00B24394" w:rsidRPr="00B952D8">
          <w:rPr>
            <w:rFonts w:ascii="Arial Narrow" w:eastAsia="Calibri" w:hAnsi="Arial Narrow" w:cs="Times New Roman"/>
            <w:sz w:val="24"/>
            <w:szCs w:val="24"/>
            <w:lang w:val="es-ES_tradnl"/>
          </w:rPr>
          <w:t>https://www.ama-med.org.ar/uploads_archivos/1497/Rev-4-2018-Pag-12-20-Cannellotto.pdf</w:t>
        </w:r>
      </w:hyperlink>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7-Rubio Silveira N, García </w:t>
      </w:r>
      <w:proofErr w:type="spellStart"/>
      <w:r w:rsidRPr="00B952D8">
        <w:rPr>
          <w:rFonts w:ascii="Arial Narrow" w:eastAsia="Calibri" w:hAnsi="Arial Narrow" w:cs="Times New Roman"/>
          <w:sz w:val="24"/>
          <w:szCs w:val="24"/>
          <w:lang w:val="es-ES_tradnl"/>
        </w:rPr>
        <w:t>Paneca</w:t>
      </w:r>
      <w:proofErr w:type="spellEnd"/>
      <w:r w:rsidRPr="00B952D8">
        <w:rPr>
          <w:rFonts w:ascii="Arial Narrow" w:eastAsia="Calibri" w:hAnsi="Arial Narrow" w:cs="Times New Roman"/>
          <w:sz w:val="24"/>
          <w:szCs w:val="24"/>
          <w:lang w:val="es-ES_tradnl"/>
        </w:rPr>
        <w:t xml:space="preserve"> K, Echevarría del Risco C, Pacheco Téllez F. Utilidad de la oxigenación hiperbárica en cirugía general [Internet]. AMC  2004[acceso: 15/06/2024]   ;8(6):134-143. Disponible en: </w:t>
      </w:r>
      <w:hyperlink r:id="rId10" w:history="1">
        <w:r w:rsidRPr="00B952D8">
          <w:rPr>
            <w:rFonts w:ascii="Arial Narrow" w:eastAsia="Calibri" w:hAnsi="Arial Narrow" w:cs="Times New Roman"/>
            <w:sz w:val="24"/>
            <w:szCs w:val="24"/>
            <w:lang w:val="es-ES_tradnl"/>
          </w:rPr>
          <w:t>http://scielo.sld.cu/scielo.php?script=sci_arttext&amp;pid=S1025-02552004000600014&amp;lng=es&amp;nrm=iso&amp;tlng=es</w:t>
        </w:r>
      </w:hyperlink>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8- Fraga PME, Jordá-Vargas L. Bioquímica de la oxigenación hiperbárica [Internet].  </w:t>
      </w:r>
      <w:proofErr w:type="spellStart"/>
      <w:r w:rsidRPr="00B952D8">
        <w:rPr>
          <w:rFonts w:ascii="Arial Narrow" w:eastAsia="Calibri" w:hAnsi="Arial Narrow" w:cs="Times New Roman"/>
          <w:sz w:val="24"/>
          <w:szCs w:val="24"/>
          <w:lang w:val="es-ES_tradnl"/>
        </w:rPr>
        <w:t>ByPC</w:t>
      </w:r>
      <w:proofErr w:type="spellEnd"/>
      <w:r w:rsidRPr="00B952D8">
        <w:rPr>
          <w:rFonts w:ascii="Arial Narrow" w:eastAsia="Calibri" w:hAnsi="Arial Narrow" w:cs="Times New Roman"/>
          <w:sz w:val="24"/>
          <w:szCs w:val="24"/>
          <w:lang w:val="es-ES_tradnl"/>
        </w:rPr>
        <w:t xml:space="preserve"> </w:t>
      </w:r>
      <w:r w:rsidRPr="00B952D8">
        <w:rPr>
          <w:rFonts w:ascii="Arial Narrow" w:eastAsia="Calibri" w:hAnsi="Arial Narrow" w:cs="Times New Roman"/>
          <w:sz w:val="24"/>
          <w:szCs w:val="24"/>
          <w:lang w:val="es-ES_tradnl"/>
        </w:rPr>
        <w:lastRenderedPageBreak/>
        <w:t xml:space="preserve">.2021[acceso: 15/06/2024] ;85(2):58-65. Disponible en: </w:t>
      </w:r>
      <w:hyperlink r:id="rId11" w:history="1">
        <w:r w:rsidRPr="00B952D8">
          <w:rPr>
            <w:rFonts w:ascii="Arial Narrow" w:eastAsia="Calibri" w:hAnsi="Arial Narrow" w:cs="Times New Roman"/>
            <w:sz w:val="24"/>
            <w:szCs w:val="24"/>
            <w:lang w:val="es-ES_tradnl"/>
          </w:rPr>
          <w:t>https://revistabypc.org.ar/index.php/bypc/article/view/140</w:t>
        </w:r>
      </w:hyperlink>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 9- Jordá Vargas L. Eficacia y seguridad de la terapia de oxigenación hiperbárica en hipoxemia severa por COVID 19: ensayo clínico controlado aleatorizado multicéntrico [Tesis de </w:t>
      </w:r>
      <w:proofErr w:type="spellStart"/>
      <w:r w:rsidRPr="00B952D8">
        <w:rPr>
          <w:rFonts w:ascii="Arial Narrow" w:eastAsia="Calibri" w:hAnsi="Arial Narrow" w:cs="Times New Roman"/>
          <w:sz w:val="24"/>
          <w:szCs w:val="24"/>
          <w:lang w:val="es-ES_tradnl"/>
        </w:rPr>
        <w:t>Maestria</w:t>
      </w:r>
      <w:proofErr w:type="spellEnd"/>
      <w:r w:rsidRPr="00B952D8">
        <w:rPr>
          <w:rFonts w:ascii="Arial Narrow" w:eastAsia="Calibri" w:hAnsi="Arial Narrow" w:cs="Times New Roman"/>
          <w:sz w:val="24"/>
          <w:szCs w:val="24"/>
          <w:lang w:val="es-ES_tradnl"/>
        </w:rPr>
        <w:t>] .Buenos Aires: Instituto Universitario Hospital Italiano de Buenos Aires; 20</w:t>
      </w:r>
      <w:r w:rsidR="00D557AD">
        <w:rPr>
          <w:rFonts w:ascii="Arial Narrow" w:eastAsia="Calibri" w:hAnsi="Arial Narrow" w:cs="Times New Roman"/>
          <w:sz w:val="24"/>
          <w:szCs w:val="24"/>
          <w:lang w:val="es-ES_tradnl"/>
        </w:rPr>
        <w:t>21 [acceso: 15/05/2024]</w:t>
      </w:r>
      <w:r w:rsidRPr="00B952D8">
        <w:rPr>
          <w:rFonts w:ascii="Arial Narrow" w:eastAsia="Calibri" w:hAnsi="Arial Narrow" w:cs="Times New Roman"/>
          <w:sz w:val="24"/>
          <w:szCs w:val="24"/>
          <w:lang w:val="es-ES_tradnl"/>
        </w:rPr>
        <w:t xml:space="preserve">. Disponible en: </w:t>
      </w:r>
      <w:hyperlink r:id="rId12" w:history="1">
        <w:r w:rsidRPr="00B952D8">
          <w:rPr>
            <w:rFonts w:ascii="Arial Narrow" w:eastAsia="Calibri" w:hAnsi="Arial Narrow" w:cs="Times New Roman"/>
            <w:sz w:val="24"/>
            <w:szCs w:val="24"/>
            <w:lang w:val="es-ES_tradnl"/>
          </w:rPr>
          <w:t>http://trovare.hospitalitaliano.org.ar/greenstone/cgi-bin/library.cgi?c=tesisytr&amp;a=d&amp;d=D1588</w:t>
        </w:r>
      </w:hyperlink>
    </w:p>
    <w:p w:rsidR="00B24394" w:rsidRPr="00BA694D" w:rsidRDefault="00B24394" w:rsidP="00B952D8">
      <w:pPr>
        <w:spacing w:after="160" w:line="360" w:lineRule="auto"/>
        <w:jc w:val="both"/>
        <w:rPr>
          <w:rFonts w:ascii="Arial Narrow" w:eastAsia="Calibri" w:hAnsi="Arial Narrow" w:cs="Times New Roman"/>
          <w:sz w:val="24"/>
          <w:szCs w:val="24"/>
          <w:lang w:val="en-US"/>
        </w:rPr>
      </w:pPr>
      <w:r w:rsidRPr="00BA694D">
        <w:rPr>
          <w:rFonts w:ascii="Arial Narrow" w:eastAsia="Calibri" w:hAnsi="Arial Narrow" w:cs="Times New Roman"/>
          <w:sz w:val="24"/>
          <w:szCs w:val="24"/>
          <w:lang w:val="en-US"/>
        </w:rPr>
        <w:t xml:space="preserve">10- Kirby JP. Hyperbaric Oxygen Therapy as an Elective Treatment. Mo Med. 2019 May-Jun;116(3):184-187.Citado </w:t>
      </w:r>
      <w:proofErr w:type="spellStart"/>
      <w:r w:rsidRPr="00BA694D">
        <w:rPr>
          <w:rFonts w:ascii="Arial Narrow" w:eastAsia="Calibri" w:hAnsi="Arial Narrow" w:cs="Times New Roman"/>
          <w:sz w:val="24"/>
          <w:szCs w:val="24"/>
          <w:lang w:val="en-US"/>
        </w:rPr>
        <w:t>en</w:t>
      </w:r>
      <w:proofErr w:type="spellEnd"/>
      <w:r w:rsidRPr="00BA694D">
        <w:rPr>
          <w:rFonts w:ascii="Arial Narrow" w:eastAsia="Calibri" w:hAnsi="Arial Narrow" w:cs="Times New Roman"/>
          <w:sz w:val="24"/>
          <w:szCs w:val="24"/>
          <w:lang w:val="en-US"/>
        </w:rPr>
        <w:t xml:space="preserve"> </w:t>
      </w:r>
      <w:proofErr w:type="spellStart"/>
      <w:r w:rsidRPr="00BA694D">
        <w:rPr>
          <w:rFonts w:ascii="Arial Narrow" w:eastAsia="Calibri" w:hAnsi="Arial Narrow" w:cs="Times New Roman"/>
          <w:sz w:val="24"/>
          <w:szCs w:val="24"/>
          <w:lang w:val="en-US"/>
        </w:rPr>
        <w:t>Pubmed</w:t>
      </w:r>
      <w:proofErr w:type="spellEnd"/>
      <w:r w:rsidRPr="00BA694D">
        <w:rPr>
          <w:rFonts w:ascii="Arial Narrow" w:eastAsia="Calibri" w:hAnsi="Arial Narrow" w:cs="Times New Roman"/>
          <w:sz w:val="24"/>
          <w:szCs w:val="24"/>
          <w:lang w:val="en-US"/>
        </w:rPr>
        <w:t>; PMID: 31527937.</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A694D">
        <w:rPr>
          <w:rFonts w:ascii="Arial Narrow" w:eastAsia="Calibri" w:hAnsi="Arial Narrow" w:cs="Times New Roman"/>
          <w:sz w:val="24"/>
          <w:szCs w:val="24"/>
          <w:lang w:val="en-US"/>
        </w:rPr>
        <w:t xml:space="preserve">11- Liu YF, Ni PW, Huang Y, </w:t>
      </w:r>
      <w:proofErr w:type="spellStart"/>
      <w:r w:rsidRPr="00BA694D">
        <w:rPr>
          <w:rFonts w:ascii="Arial Narrow" w:eastAsia="Calibri" w:hAnsi="Arial Narrow" w:cs="Times New Roman"/>
          <w:sz w:val="24"/>
          <w:szCs w:val="24"/>
          <w:lang w:val="en-US"/>
        </w:rPr>
        <w:t>Xie</w:t>
      </w:r>
      <w:proofErr w:type="spellEnd"/>
      <w:r w:rsidRPr="00BA694D">
        <w:rPr>
          <w:rFonts w:ascii="Arial Narrow" w:eastAsia="Calibri" w:hAnsi="Arial Narrow" w:cs="Times New Roman"/>
          <w:sz w:val="24"/>
          <w:szCs w:val="24"/>
          <w:lang w:val="en-US"/>
        </w:rPr>
        <w:t xml:space="preserve"> T. Therapeutic strategies for chronic wound infection [Internet</w:t>
      </w:r>
      <w:proofErr w:type="gramStart"/>
      <w:r w:rsidRPr="00BA694D">
        <w:rPr>
          <w:rFonts w:ascii="Arial Narrow" w:eastAsia="Calibri" w:hAnsi="Arial Narrow" w:cs="Times New Roman"/>
          <w:sz w:val="24"/>
          <w:szCs w:val="24"/>
          <w:lang w:val="en-US"/>
        </w:rPr>
        <w:t>] .</w:t>
      </w:r>
      <w:proofErr w:type="gramEnd"/>
      <w:r w:rsidRPr="00BA694D">
        <w:rPr>
          <w:rFonts w:ascii="Arial Narrow" w:eastAsia="Calibri" w:hAnsi="Arial Narrow" w:cs="Times New Roman"/>
          <w:sz w:val="24"/>
          <w:szCs w:val="24"/>
          <w:lang w:val="en-US"/>
        </w:rPr>
        <w:t xml:space="preserve"> </w:t>
      </w:r>
      <w:r w:rsidRPr="00B952D8">
        <w:rPr>
          <w:rFonts w:ascii="Arial Narrow" w:eastAsia="Calibri" w:hAnsi="Arial Narrow" w:cs="Times New Roman"/>
          <w:sz w:val="24"/>
          <w:szCs w:val="24"/>
          <w:lang w:val="es-ES_tradnl"/>
        </w:rPr>
        <w:t xml:space="preserve">Chin J </w:t>
      </w:r>
      <w:proofErr w:type="spellStart"/>
      <w:r w:rsidRPr="00B952D8">
        <w:rPr>
          <w:rFonts w:ascii="Arial Narrow" w:eastAsia="Calibri" w:hAnsi="Arial Narrow" w:cs="Times New Roman"/>
          <w:sz w:val="24"/>
          <w:szCs w:val="24"/>
          <w:lang w:val="es-ES_tradnl"/>
        </w:rPr>
        <w:t>Traumatol</w:t>
      </w:r>
      <w:proofErr w:type="spellEnd"/>
      <w:r w:rsidRPr="00B952D8">
        <w:rPr>
          <w:rFonts w:ascii="Arial Narrow" w:eastAsia="Calibri" w:hAnsi="Arial Narrow" w:cs="Times New Roman"/>
          <w:sz w:val="24"/>
          <w:szCs w:val="24"/>
          <w:lang w:val="es-ES_tradnl"/>
        </w:rPr>
        <w:t xml:space="preserve">. 2022 Jan;25(1):11-16. DOI: 10.1016/j.cjtee.2021.07.004.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A694D">
        <w:rPr>
          <w:rFonts w:ascii="Arial Narrow" w:eastAsia="Calibri" w:hAnsi="Arial Narrow" w:cs="Times New Roman"/>
          <w:sz w:val="24"/>
          <w:szCs w:val="24"/>
          <w:lang w:val="en-US"/>
        </w:rPr>
        <w:t xml:space="preserve">12- Mensah-Kane P, </w:t>
      </w:r>
      <w:proofErr w:type="spellStart"/>
      <w:r w:rsidRPr="00BA694D">
        <w:rPr>
          <w:rFonts w:ascii="Arial Narrow" w:eastAsia="Calibri" w:hAnsi="Arial Narrow" w:cs="Times New Roman"/>
          <w:sz w:val="24"/>
          <w:szCs w:val="24"/>
          <w:lang w:val="en-US"/>
        </w:rPr>
        <w:t>Sumien</w:t>
      </w:r>
      <w:proofErr w:type="spellEnd"/>
      <w:r w:rsidRPr="00BA694D">
        <w:rPr>
          <w:rFonts w:ascii="Arial Narrow" w:eastAsia="Calibri" w:hAnsi="Arial Narrow" w:cs="Times New Roman"/>
          <w:sz w:val="24"/>
          <w:szCs w:val="24"/>
          <w:lang w:val="en-US"/>
        </w:rPr>
        <w:t xml:space="preserve"> N. The potential of hyperbaric oxygen as a therapy for neurodegenerative </w:t>
      </w:r>
      <w:proofErr w:type="gramStart"/>
      <w:r w:rsidRPr="00BA694D">
        <w:rPr>
          <w:rFonts w:ascii="Arial Narrow" w:eastAsia="Calibri" w:hAnsi="Arial Narrow" w:cs="Times New Roman"/>
          <w:sz w:val="24"/>
          <w:szCs w:val="24"/>
          <w:lang w:val="en-US"/>
        </w:rPr>
        <w:t>diseases[</w:t>
      </w:r>
      <w:proofErr w:type="gramEnd"/>
      <w:r w:rsidRPr="00BA694D">
        <w:rPr>
          <w:rFonts w:ascii="Arial Narrow" w:eastAsia="Calibri" w:hAnsi="Arial Narrow" w:cs="Times New Roman"/>
          <w:sz w:val="24"/>
          <w:szCs w:val="24"/>
          <w:lang w:val="en-US"/>
        </w:rPr>
        <w:t xml:space="preserve">Internet] . </w:t>
      </w:r>
      <w:proofErr w:type="spellStart"/>
      <w:r w:rsidRPr="00B952D8">
        <w:rPr>
          <w:rFonts w:ascii="Arial Narrow" w:eastAsia="Calibri" w:hAnsi="Arial Narrow" w:cs="Times New Roman"/>
          <w:sz w:val="24"/>
          <w:szCs w:val="24"/>
          <w:lang w:val="es-ES_tradnl"/>
        </w:rPr>
        <w:t>Geroscience</w:t>
      </w:r>
      <w:proofErr w:type="spellEnd"/>
      <w:r w:rsidRPr="00B952D8">
        <w:rPr>
          <w:rFonts w:ascii="Arial Narrow" w:eastAsia="Calibri" w:hAnsi="Arial Narrow" w:cs="Times New Roman"/>
          <w:sz w:val="24"/>
          <w:szCs w:val="24"/>
          <w:lang w:val="es-ES_tradnl"/>
        </w:rPr>
        <w:t xml:space="preserve">. 2023 Apr;45(2):747-756. DOI: 10.1007/s11357-022-00707-z.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A694D">
        <w:rPr>
          <w:rFonts w:ascii="Arial Narrow" w:eastAsia="Calibri" w:hAnsi="Arial Narrow" w:cs="Times New Roman"/>
          <w:sz w:val="24"/>
          <w:szCs w:val="24"/>
          <w:lang w:val="en-US"/>
        </w:rPr>
        <w:t xml:space="preserve">13- </w:t>
      </w:r>
      <w:proofErr w:type="spellStart"/>
      <w:r w:rsidRPr="00BA694D">
        <w:rPr>
          <w:rFonts w:ascii="Arial Narrow" w:eastAsia="Calibri" w:hAnsi="Arial Narrow" w:cs="Times New Roman"/>
          <w:sz w:val="24"/>
          <w:szCs w:val="24"/>
          <w:lang w:val="en-US"/>
        </w:rPr>
        <w:t>Xiong</w:t>
      </w:r>
      <w:proofErr w:type="spellEnd"/>
      <w:r w:rsidRPr="00BA694D">
        <w:rPr>
          <w:rFonts w:ascii="Arial Narrow" w:eastAsia="Calibri" w:hAnsi="Arial Narrow" w:cs="Times New Roman"/>
          <w:sz w:val="24"/>
          <w:szCs w:val="24"/>
          <w:lang w:val="en-US"/>
        </w:rPr>
        <w:t xml:space="preserve"> Y, Yong Z, Xu C, Deng Q, Wang Q, Li S, Wang C, Zhang Z, Yang X, Li Z. Hyperbaric Oxygen Activates Enzyme-Driven Cascade Reactions for Cooperative Cancer Therapy and Cancer Stem Cells Elimination [Internet]. </w:t>
      </w:r>
      <w:proofErr w:type="spellStart"/>
      <w:r w:rsidRPr="00B952D8">
        <w:rPr>
          <w:rFonts w:ascii="Arial Narrow" w:eastAsia="Calibri" w:hAnsi="Arial Narrow" w:cs="Times New Roman"/>
          <w:sz w:val="24"/>
          <w:szCs w:val="24"/>
          <w:lang w:val="es-ES_tradnl"/>
        </w:rPr>
        <w:t>Adv</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Sci</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Weinh</w:t>
      </w:r>
      <w:proofErr w:type="spellEnd"/>
      <w:r w:rsidRPr="00B952D8">
        <w:rPr>
          <w:rFonts w:ascii="Arial Narrow" w:eastAsia="Calibri" w:hAnsi="Arial Narrow" w:cs="Times New Roman"/>
          <w:sz w:val="24"/>
          <w:szCs w:val="24"/>
          <w:lang w:val="es-ES_tradnl"/>
        </w:rPr>
        <w:t>). 2023 Jul;10(21</w:t>
      </w:r>
      <w:proofErr w:type="gramStart"/>
      <w:r w:rsidRPr="00B952D8">
        <w:rPr>
          <w:rFonts w:ascii="Arial Narrow" w:eastAsia="Calibri" w:hAnsi="Arial Narrow" w:cs="Times New Roman"/>
          <w:sz w:val="24"/>
          <w:szCs w:val="24"/>
          <w:lang w:val="es-ES_tradnl"/>
        </w:rPr>
        <w:t>):e</w:t>
      </w:r>
      <w:proofErr w:type="gramEnd"/>
      <w:r w:rsidRPr="00B952D8">
        <w:rPr>
          <w:rFonts w:ascii="Arial Narrow" w:eastAsia="Calibri" w:hAnsi="Arial Narrow" w:cs="Times New Roman"/>
          <w:sz w:val="24"/>
          <w:szCs w:val="24"/>
          <w:lang w:val="es-ES_tradnl"/>
        </w:rPr>
        <w:t xml:space="preserve">2301278. DOI: 10.1002/advs.202301278.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14- Ortells López </w:t>
      </w:r>
      <w:proofErr w:type="spellStart"/>
      <w:proofErr w:type="gramStart"/>
      <w:r w:rsidRPr="00B952D8">
        <w:rPr>
          <w:rFonts w:ascii="Arial Narrow" w:eastAsia="Calibri" w:hAnsi="Arial Narrow" w:cs="Times New Roman"/>
          <w:sz w:val="24"/>
          <w:szCs w:val="24"/>
          <w:lang w:val="es-ES_tradnl"/>
        </w:rPr>
        <w:t>P.La</w:t>
      </w:r>
      <w:proofErr w:type="spellEnd"/>
      <w:proofErr w:type="gramEnd"/>
      <w:r w:rsidRPr="00B952D8">
        <w:rPr>
          <w:rFonts w:ascii="Arial Narrow" w:eastAsia="Calibri" w:hAnsi="Arial Narrow" w:cs="Times New Roman"/>
          <w:sz w:val="24"/>
          <w:szCs w:val="24"/>
          <w:lang w:val="es-ES_tradnl"/>
        </w:rPr>
        <w:t xml:space="preserve"> oxigenación hiperbárica como medio potenciador de la radioterapia en el paciente oncológico [Tesis </w:t>
      </w:r>
      <w:proofErr w:type="spellStart"/>
      <w:r w:rsidRPr="00B952D8">
        <w:rPr>
          <w:rFonts w:ascii="Arial Narrow" w:eastAsia="Calibri" w:hAnsi="Arial Narrow" w:cs="Times New Roman"/>
          <w:sz w:val="24"/>
          <w:szCs w:val="24"/>
          <w:lang w:val="es-ES_tradnl"/>
        </w:rPr>
        <w:t>Enfermeria</w:t>
      </w:r>
      <w:proofErr w:type="spellEnd"/>
      <w:r w:rsidRPr="00B952D8">
        <w:rPr>
          <w:rFonts w:ascii="Arial Narrow" w:eastAsia="Calibri" w:hAnsi="Arial Narrow" w:cs="Times New Roman"/>
          <w:sz w:val="24"/>
          <w:szCs w:val="24"/>
          <w:lang w:val="es-ES_tradnl"/>
        </w:rPr>
        <w:t xml:space="preserve">] . España: </w:t>
      </w:r>
      <w:proofErr w:type="spellStart"/>
      <w:r w:rsidRPr="00B952D8">
        <w:rPr>
          <w:rFonts w:ascii="Arial Narrow" w:eastAsia="Calibri" w:hAnsi="Arial Narrow" w:cs="Times New Roman"/>
          <w:sz w:val="24"/>
          <w:szCs w:val="24"/>
          <w:lang w:val="es-ES_tradnl"/>
        </w:rPr>
        <w:t>Universitat</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Jaumem</w:t>
      </w:r>
      <w:proofErr w:type="spellEnd"/>
      <w:r w:rsidRPr="00B952D8">
        <w:rPr>
          <w:rFonts w:ascii="Arial Narrow" w:eastAsia="Calibri" w:hAnsi="Arial Narrow" w:cs="Times New Roman"/>
          <w:sz w:val="24"/>
          <w:szCs w:val="24"/>
          <w:lang w:val="es-ES_tradnl"/>
        </w:rPr>
        <w:t xml:space="preserve"> [acceso: 15/06/2024]; 2022. Disponible en: </w:t>
      </w:r>
      <w:hyperlink r:id="rId13" w:history="1">
        <w:r w:rsidRPr="00B952D8">
          <w:rPr>
            <w:rFonts w:ascii="Arial Narrow" w:eastAsia="Calibri" w:hAnsi="Arial Narrow" w:cs="Times New Roman"/>
            <w:sz w:val="24"/>
            <w:szCs w:val="24"/>
            <w:lang w:val="es-ES_tradnl"/>
          </w:rPr>
          <w:t>https://repositori.uji.es/xmlui/bitstream/handle/10234/200941/TFG_2022_Ortells_L%C3%B3pez_Paula.pdf?sequence=1&amp;isAllowed=y</w:t>
        </w:r>
      </w:hyperlink>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A694D">
        <w:rPr>
          <w:rFonts w:ascii="Arial Narrow" w:eastAsia="Calibri" w:hAnsi="Arial Narrow" w:cs="Times New Roman"/>
          <w:sz w:val="24"/>
          <w:szCs w:val="24"/>
          <w:lang w:val="en-US"/>
        </w:rPr>
        <w:t>15</w:t>
      </w:r>
      <w:proofErr w:type="gramStart"/>
      <w:r w:rsidRPr="00BA694D">
        <w:rPr>
          <w:rFonts w:ascii="Arial Narrow" w:eastAsia="Calibri" w:hAnsi="Arial Narrow" w:cs="Times New Roman"/>
          <w:sz w:val="24"/>
          <w:szCs w:val="24"/>
          <w:lang w:val="en-US"/>
        </w:rPr>
        <w:t>-  Huang</w:t>
      </w:r>
      <w:proofErr w:type="gramEnd"/>
      <w:r w:rsidRPr="00BA694D">
        <w:rPr>
          <w:rFonts w:ascii="Arial Narrow" w:eastAsia="Calibri" w:hAnsi="Arial Narrow" w:cs="Times New Roman"/>
          <w:sz w:val="24"/>
          <w:szCs w:val="24"/>
          <w:lang w:val="en-US"/>
        </w:rPr>
        <w:t xml:space="preserve"> C, Zhong Y, Yue C, He B, Li Y, Li J. The effect of hyperbaric oxygen therapy on the clinical outcomes of necrotizing soft tissue infections: a systematic review and meta-analysis [</w:t>
      </w:r>
      <w:proofErr w:type="gramStart"/>
      <w:r w:rsidRPr="00BA694D">
        <w:rPr>
          <w:rFonts w:ascii="Arial Narrow" w:eastAsia="Calibri" w:hAnsi="Arial Narrow" w:cs="Times New Roman"/>
          <w:sz w:val="24"/>
          <w:szCs w:val="24"/>
          <w:lang w:val="en-US"/>
        </w:rPr>
        <w:t>Internet]  .</w:t>
      </w:r>
      <w:proofErr w:type="gramEnd"/>
      <w:r w:rsidRPr="00BA694D">
        <w:rPr>
          <w:rFonts w:ascii="Arial Narrow" w:eastAsia="Calibri" w:hAnsi="Arial Narrow" w:cs="Times New Roman"/>
          <w:sz w:val="24"/>
          <w:szCs w:val="24"/>
          <w:lang w:val="en-US"/>
        </w:rPr>
        <w:t xml:space="preserve"> </w:t>
      </w:r>
      <w:proofErr w:type="spellStart"/>
      <w:r w:rsidRPr="00B952D8">
        <w:rPr>
          <w:rFonts w:ascii="Arial Narrow" w:eastAsia="Calibri" w:hAnsi="Arial Narrow" w:cs="Times New Roman"/>
          <w:sz w:val="24"/>
          <w:szCs w:val="24"/>
          <w:lang w:val="es-ES_tradnl"/>
        </w:rPr>
        <w:t>World</w:t>
      </w:r>
      <w:proofErr w:type="spellEnd"/>
      <w:r w:rsidRPr="00B952D8">
        <w:rPr>
          <w:rFonts w:ascii="Arial Narrow" w:eastAsia="Calibri" w:hAnsi="Arial Narrow" w:cs="Times New Roman"/>
          <w:sz w:val="24"/>
          <w:szCs w:val="24"/>
          <w:lang w:val="es-ES_tradnl"/>
        </w:rPr>
        <w:t xml:space="preserve"> J </w:t>
      </w:r>
      <w:proofErr w:type="spellStart"/>
      <w:r w:rsidRPr="00B952D8">
        <w:rPr>
          <w:rFonts w:ascii="Arial Narrow" w:eastAsia="Calibri" w:hAnsi="Arial Narrow" w:cs="Times New Roman"/>
          <w:sz w:val="24"/>
          <w:szCs w:val="24"/>
          <w:lang w:val="es-ES_tradnl"/>
        </w:rPr>
        <w:t>Emerg</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Surg</w:t>
      </w:r>
      <w:proofErr w:type="spellEnd"/>
      <w:r w:rsidRPr="00B952D8">
        <w:rPr>
          <w:rFonts w:ascii="Arial Narrow" w:eastAsia="Calibri" w:hAnsi="Arial Narrow" w:cs="Times New Roman"/>
          <w:sz w:val="24"/>
          <w:szCs w:val="24"/>
          <w:lang w:val="es-ES_tradnl"/>
        </w:rPr>
        <w:t xml:space="preserve">. 2023 Mar 25;18(1):23. DOI: 10.1186/s13017-023-00490-y.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 16- Ortega F. Gonzalo, Leal W. María José, Godoy R. Valeria. Usos de cámara hiperbárica en otorrinolaringología. [Internet] Rev. </w:t>
      </w:r>
      <w:proofErr w:type="spellStart"/>
      <w:r w:rsidRPr="00B952D8">
        <w:rPr>
          <w:rFonts w:ascii="Arial Narrow" w:eastAsia="Calibri" w:hAnsi="Arial Narrow" w:cs="Times New Roman"/>
          <w:sz w:val="24"/>
          <w:szCs w:val="24"/>
          <w:lang w:val="es-ES_tradnl"/>
        </w:rPr>
        <w:t>Otorrinolaringol</w:t>
      </w:r>
      <w:proofErr w:type="spellEnd"/>
      <w:r w:rsidRPr="00B952D8">
        <w:rPr>
          <w:rFonts w:ascii="Arial Narrow" w:eastAsia="Calibri" w:hAnsi="Arial Narrow" w:cs="Times New Roman"/>
          <w:sz w:val="24"/>
          <w:szCs w:val="24"/>
          <w:lang w:val="es-ES_tradnl"/>
        </w:rPr>
        <w:t xml:space="preserve">. Cir. Cabeza </w:t>
      </w:r>
      <w:proofErr w:type="gramStart"/>
      <w:r w:rsidRPr="00B952D8">
        <w:rPr>
          <w:rFonts w:ascii="Arial Narrow" w:eastAsia="Calibri" w:hAnsi="Arial Narrow" w:cs="Times New Roman"/>
          <w:sz w:val="24"/>
          <w:szCs w:val="24"/>
          <w:lang w:val="es-ES_tradnl"/>
        </w:rPr>
        <w:t>Cuello .</w:t>
      </w:r>
      <w:proofErr w:type="gramEnd"/>
      <w:r w:rsidRPr="00B952D8">
        <w:rPr>
          <w:rFonts w:ascii="Arial Narrow" w:eastAsia="Calibri" w:hAnsi="Arial Narrow" w:cs="Times New Roman"/>
          <w:sz w:val="24"/>
          <w:szCs w:val="24"/>
          <w:lang w:val="es-ES_tradnl"/>
        </w:rPr>
        <w:t xml:space="preserve"> </w:t>
      </w:r>
      <w:proofErr w:type="gramStart"/>
      <w:r w:rsidRPr="00B952D8">
        <w:rPr>
          <w:rFonts w:ascii="Arial Narrow" w:eastAsia="Calibri" w:hAnsi="Arial Narrow" w:cs="Times New Roman"/>
          <w:sz w:val="24"/>
          <w:szCs w:val="24"/>
          <w:lang w:val="es-ES_tradnl"/>
        </w:rPr>
        <w:t>2022  Sep</w:t>
      </w:r>
      <w:proofErr w:type="gramEnd"/>
      <w:r w:rsidRPr="00B952D8">
        <w:rPr>
          <w:rFonts w:ascii="Arial Narrow" w:eastAsia="Calibri" w:hAnsi="Arial Narrow" w:cs="Times New Roman"/>
          <w:sz w:val="24"/>
          <w:szCs w:val="24"/>
          <w:lang w:val="es-ES_tradnl"/>
        </w:rPr>
        <w:t xml:space="preserve"> [acceso: </w:t>
      </w:r>
      <w:r w:rsidRPr="00B952D8">
        <w:rPr>
          <w:rFonts w:ascii="Arial Narrow" w:eastAsia="Calibri" w:hAnsi="Arial Narrow" w:cs="Times New Roman"/>
          <w:sz w:val="24"/>
          <w:szCs w:val="24"/>
          <w:lang w:val="es-ES_tradnl"/>
        </w:rPr>
        <w:lastRenderedPageBreak/>
        <w:t xml:space="preserve">15/06/2024] ] ;  82( 3 ): 391-397. Disponible en: </w:t>
      </w:r>
      <w:hyperlink r:id="rId14" w:history="1">
        <w:r w:rsidRPr="00B952D8">
          <w:rPr>
            <w:rFonts w:ascii="Arial Narrow" w:eastAsia="Calibri" w:hAnsi="Arial Narrow" w:cs="Times New Roman"/>
            <w:sz w:val="24"/>
            <w:szCs w:val="24"/>
            <w:lang w:val="es-ES_tradnl"/>
          </w:rPr>
          <w:t>http://www.scielo.cl/scielo.php?script=sci_arttext&amp;pid=S0718-48162022000300391&amp;lng=es</w:t>
        </w:r>
      </w:hyperlink>
      <w:r w:rsidRPr="00B952D8">
        <w:rPr>
          <w:rFonts w:ascii="Arial Narrow" w:eastAsia="Calibri" w:hAnsi="Arial Narrow" w:cs="Times New Roman"/>
          <w:sz w:val="24"/>
          <w:szCs w:val="24"/>
          <w:lang w:val="es-ES_tradnl"/>
        </w:rPr>
        <w:t>.</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17- Duque Ramírez S. Efectos de la Terapia con Oxígeno </w:t>
      </w:r>
      <w:proofErr w:type="spellStart"/>
      <w:r w:rsidRPr="00B952D8">
        <w:rPr>
          <w:rFonts w:ascii="Arial Narrow" w:eastAsia="Calibri" w:hAnsi="Arial Narrow" w:cs="Times New Roman"/>
          <w:sz w:val="24"/>
          <w:szCs w:val="24"/>
          <w:lang w:val="es-ES_tradnl"/>
        </w:rPr>
        <w:t>Hiperbarico</w:t>
      </w:r>
      <w:proofErr w:type="spellEnd"/>
      <w:r w:rsidRPr="00B952D8">
        <w:rPr>
          <w:rFonts w:ascii="Arial Narrow" w:eastAsia="Calibri" w:hAnsi="Arial Narrow" w:cs="Times New Roman"/>
          <w:sz w:val="24"/>
          <w:szCs w:val="24"/>
          <w:lang w:val="es-ES_tradnl"/>
        </w:rPr>
        <w:t xml:space="preserve"> en el manejo de algunas afecciones en piel y tejidos blandos en humanos. [Tesis] Universidad Nacional de Colombia;2020 [acceso: 15/06/2024]. Disponible: </w:t>
      </w:r>
      <w:hyperlink r:id="rId15" w:history="1">
        <w:r w:rsidRPr="00B952D8">
          <w:rPr>
            <w:rFonts w:ascii="Arial Narrow" w:eastAsia="Calibri" w:hAnsi="Arial Narrow" w:cs="Times New Roman"/>
            <w:sz w:val="24"/>
            <w:szCs w:val="24"/>
            <w:lang w:val="es-ES_tradnl"/>
          </w:rPr>
          <w:t>https://repositorio.unal.edu.co/bitstream/handle/unal/78211/1017125646_2020.pdf?sequence=4&amp;isAllowed=y</w:t>
        </w:r>
      </w:hyperlink>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A694D">
        <w:rPr>
          <w:rFonts w:ascii="Arial Narrow" w:eastAsia="Calibri" w:hAnsi="Arial Narrow" w:cs="Times New Roman"/>
          <w:sz w:val="24"/>
          <w:szCs w:val="24"/>
          <w:lang w:val="en-US"/>
        </w:rPr>
        <w:t>18</w:t>
      </w:r>
      <w:proofErr w:type="gramStart"/>
      <w:r w:rsidRPr="00BA694D">
        <w:rPr>
          <w:rFonts w:ascii="Arial Narrow" w:eastAsia="Calibri" w:hAnsi="Arial Narrow" w:cs="Times New Roman"/>
          <w:sz w:val="24"/>
          <w:szCs w:val="24"/>
          <w:lang w:val="en-US"/>
        </w:rPr>
        <w:t xml:space="preserve">-  </w:t>
      </w:r>
      <w:proofErr w:type="spellStart"/>
      <w:r w:rsidRPr="00BA694D">
        <w:rPr>
          <w:rFonts w:ascii="Arial Narrow" w:eastAsia="Calibri" w:hAnsi="Arial Narrow" w:cs="Times New Roman"/>
          <w:sz w:val="24"/>
          <w:szCs w:val="24"/>
          <w:lang w:val="en-US"/>
        </w:rPr>
        <w:t>Fakkert</w:t>
      </w:r>
      <w:proofErr w:type="spellEnd"/>
      <w:proofErr w:type="gramEnd"/>
      <w:r w:rsidRPr="00BA694D">
        <w:rPr>
          <w:rFonts w:ascii="Arial Narrow" w:eastAsia="Calibri" w:hAnsi="Arial Narrow" w:cs="Times New Roman"/>
          <w:sz w:val="24"/>
          <w:szCs w:val="24"/>
          <w:lang w:val="en-US"/>
        </w:rPr>
        <w:t xml:space="preserve"> RA, </w:t>
      </w:r>
      <w:proofErr w:type="spellStart"/>
      <w:r w:rsidRPr="00BA694D">
        <w:rPr>
          <w:rFonts w:ascii="Arial Narrow" w:eastAsia="Calibri" w:hAnsi="Arial Narrow" w:cs="Times New Roman"/>
          <w:sz w:val="24"/>
          <w:szCs w:val="24"/>
          <w:lang w:val="en-US"/>
        </w:rPr>
        <w:t>Karlas</w:t>
      </w:r>
      <w:proofErr w:type="spellEnd"/>
      <w:r w:rsidRPr="00BA694D">
        <w:rPr>
          <w:rFonts w:ascii="Arial Narrow" w:eastAsia="Calibri" w:hAnsi="Arial Narrow" w:cs="Times New Roman"/>
          <w:sz w:val="24"/>
          <w:szCs w:val="24"/>
          <w:lang w:val="en-US"/>
        </w:rPr>
        <w:t xml:space="preserve"> N, Schober P, Weber NC, </w:t>
      </w:r>
      <w:proofErr w:type="spellStart"/>
      <w:r w:rsidRPr="00BA694D">
        <w:rPr>
          <w:rFonts w:ascii="Arial Narrow" w:eastAsia="Calibri" w:hAnsi="Arial Narrow" w:cs="Times New Roman"/>
          <w:sz w:val="24"/>
          <w:szCs w:val="24"/>
          <w:lang w:val="en-US"/>
        </w:rPr>
        <w:t>Preckel</w:t>
      </w:r>
      <w:proofErr w:type="spellEnd"/>
      <w:r w:rsidRPr="00BA694D">
        <w:rPr>
          <w:rFonts w:ascii="Arial Narrow" w:eastAsia="Calibri" w:hAnsi="Arial Narrow" w:cs="Times New Roman"/>
          <w:sz w:val="24"/>
          <w:szCs w:val="24"/>
          <w:lang w:val="en-US"/>
        </w:rPr>
        <w:t xml:space="preserve"> B, van Hulst RA, </w:t>
      </w:r>
      <w:proofErr w:type="spellStart"/>
      <w:r w:rsidRPr="00BA694D">
        <w:rPr>
          <w:rFonts w:ascii="Arial Narrow" w:eastAsia="Calibri" w:hAnsi="Arial Narrow" w:cs="Times New Roman"/>
          <w:sz w:val="24"/>
          <w:szCs w:val="24"/>
          <w:lang w:val="en-US"/>
        </w:rPr>
        <w:t>Weenink</w:t>
      </w:r>
      <w:proofErr w:type="spellEnd"/>
      <w:r w:rsidRPr="00BA694D">
        <w:rPr>
          <w:rFonts w:ascii="Arial Narrow" w:eastAsia="Calibri" w:hAnsi="Arial Narrow" w:cs="Times New Roman"/>
          <w:sz w:val="24"/>
          <w:szCs w:val="24"/>
          <w:lang w:val="en-US"/>
        </w:rPr>
        <w:t xml:space="preserve"> RP. Early hyperbaric oxygen therapy is associated with favorable outcome in patients with iatrogenic cerebral arterial gas embolism: systematic review and individual patient data meta-analysis of observational studies. </w:t>
      </w:r>
      <w:proofErr w:type="spellStart"/>
      <w:r w:rsidRPr="00B952D8">
        <w:rPr>
          <w:rFonts w:ascii="Arial Narrow" w:eastAsia="Calibri" w:hAnsi="Arial Narrow" w:cs="Times New Roman"/>
          <w:sz w:val="24"/>
          <w:szCs w:val="24"/>
          <w:lang w:val="es-ES_tradnl"/>
        </w:rPr>
        <w:t>Crit</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Care</w:t>
      </w:r>
      <w:proofErr w:type="spellEnd"/>
      <w:r w:rsidRPr="00B952D8">
        <w:rPr>
          <w:rFonts w:ascii="Arial Narrow" w:eastAsia="Calibri" w:hAnsi="Arial Narrow" w:cs="Times New Roman"/>
          <w:sz w:val="24"/>
          <w:szCs w:val="24"/>
          <w:lang w:val="es-ES_tradnl"/>
        </w:rPr>
        <w:t xml:space="preserve">. 2023 </w:t>
      </w:r>
      <w:proofErr w:type="gramStart"/>
      <w:r w:rsidRPr="00B952D8">
        <w:rPr>
          <w:rFonts w:ascii="Arial Narrow" w:eastAsia="Calibri" w:hAnsi="Arial Narrow" w:cs="Times New Roman"/>
          <w:sz w:val="24"/>
          <w:szCs w:val="24"/>
          <w:lang w:val="es-ES_tradnl"/>
        </w:rPr>
        <w:t>Jul</w:t>
      </w:r>
      <w:proofErr w:type="gramEnd"/>
      <w:r w:rsidRPr="00B952D8">
        <w:rPr>
          <w:rFonts w:ascii="Arial Narrow" w:eastAsia="Calibri" w:hAnsi="Arial Narrow" w:cs="Times New Roman"/>
          <w:sz w:val="24"/>
          <w:szCs w:val="24"/>
          <w:lang w:val="es-ES_tradnl"/>
        </w:rPr>
        <w:t xml:space="preserve"> 12;27(1):282. DOI: 10.1186/s13054-023-04563-x.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A694D">
        <w:rPr>
          <w:rFonts w:ascii="Arial Narrow" w:eastAsia="Calibri" w:hAnsi="Arial Narrow" w:cs="Times New Roman"/>
          <w:sz w:val="24"/>
          <w:szCs w:val="24"/>
          <w:lang w:val="en-US"/>
        </w:rPr>
        <w:t xml:space="preserve">19- </w:t>
      </w:r>
      <w:proofErr w:type="spellStart"/>
      <w:r w:rsidRPr="00BA694D">
        <w:rPr>
          <w:rFonts w:ascii="Arial Narrow" w:eastAsia="Calibri" w:hAnsi="Arial Narrow" w:cs="Times New Roman"/>
          <w:sz w:val="24"/>
          <w:szCs w:val="24"/>
          <w:lang w:val="en-US"/>
        </w:rPr>
        <w:t>Vinkel</w:t>
      </w:r>
      <w:proofErr w:type="spellEnd"/>
      <w:r w:rsidRPr="00BA694D">
        <w:rPr>
          <w:rFonts w:ascii="Arial Narrow" w:eastAsia="Calibri" w:hAnsi="Arial Narrow" w:cs="Times New Roman"/>
          <w:sz w:val="24"/>
          <w:szCs w:val="24"/>
          <w:lang w:val="en-US"/>
        </w:rPr>
        <w:t xml:space="preserve"> J, </w:t>
      </w:r>
      <w:proofErr w:type="spellStart"/>
      <w:r w:rsidRPr="00BA694D">
        <w:rPr>
          <w:rFonts w:ascii="Arial Narrow" w:eastAsia="Calibri" w:hAnsi="Arial Narrow" w:cs="Times New Roman"/>
          <w:sz w:val="24"/>
          <w:szCs w:val="24"/>
          <w:lang w:val="en-US"/>
        </w:rPr>
        <w:t>Arenkiel</w:t>
      </w:r>
      <w:proofErr w:type="spellEnd"/>
      <w:r w:rsidRPr="00BA694D">
        <w:rPr>
          <w:rFonts w:ascii="Arial Narrow" w:eastAsia="Calibri" w:hAnsi="Arial Narrow" w:cs="Times New Roman"/>
          <w:sz w:val="24"/>
          <w:szCs w:val="24"/>
          <w:lang w:val="en-US"/>
        </w:rPr>
        <w:t xml:space="preserve"> B, </w:t>
      </w:r>
      <w:proofErr w:type="spellStart"/>
      <w:r w:rsidRPr="00BA694D">
        <w:rPr>
          <w:rFonts w:ascii="Arial Narrow" w:eastAsia="Calibri" w:hAnsi="Arial Narrow" w:cs="Times New Roman"/>
          <w:sz w:val="24"/>
          <w:szCs w:val="24"/>
          <w:lang w:val="en-US"/>
        </w:rPr>
        <w:t>Hyldegaard</w:t>
      </w:r>
      <w:proofErr w:type="spellEnd"/>
      <w:r w:rsidRPr="00BA694D">
        <w:rPr>
          <w:rFonts w:ascii="Arial Narrow" w:eastAsia="Calibri" w:hAnsi="Arial Narrow" w:cs="Times New Roman"/>
          <w:sz w:val="24"/>
          <w:szCs w:val="24"/>
          <w:lang w:val="en-US"/>
        </w:rPr>
        <w:t xml:space="preserve"> O. The Mechanisms of Action of Hyperbaric Oxygen in Restoring Host Homeostasis during Sepsis. </w:t>
      </w:r>
      <w:proofErr w:type="spellStart"/>
      <w:r w:rsidRPr="00B952D8">
        <w:rPr>
          <w:rFonts w:ascii="Arial Narrow" w:eastAsia="Calibri" w:hAnsi="Arial Narrow" w:cs="Times New Roman"/>
          <w:sz w:val="24"/>
          <w:szCs w:val="24"/>
          <w:lang w:val="es-ES_tradnl"/>
        </w:rPr>
        <w:t>Biomolecules</w:t>
      </w:r>
      <w:proofErr w:type="spellEnd"/>
      <w:r w:rsidRPr="00B952D8">
        <w:rPr>
          <w:rFonts w:ascii="Arial Narrow" w:eastAsia="Calibri" w:hAnsi="Arial Narrow" w:cs="Times New Roman"/>
          <w:sz w:val="24"/>
          <w:szCs w:val="24"/>
          <w:lang w:val="es-ES_tradnl"/>
        </w:rPr>
        <w:t xml:space="preserve">. 2023 </w:t>
      </w:r>
      <w:proofErr w:type="spellStart"/>
      <w:r w:rsidRPr="00B952D8">
        <w:rPr>
          <w:rFonts w:ascii="Arial Narrow" w:eastAsia="Calibri" w:hAnsi="Arial Narrow" w:cs="Times New Roman"/>
          <w:sz w:val="24"/>
          <w:szCs w:val="24"/>
          <w:lang w:val="es-ES_tradnl"/>
        </w:rPr>
        <w:t>Aug</w:t>
      </w:r>
      <w:proofErr w:type="spellEnd"/>
      <w:r w:rsidRPr="00B952D8">
        <w:rPr>
          <w:rFonts w:ascii="Arial Narrow" w:eastAsia="Calibri" w:hAnsi="Arial Narrow" w:cs="Times New Roman"/>
          <w:sz w:val="24"/>
          <w:szCs w:val="24"/>
          <w:lang w:val="es-ES_tradnl"/>
        </w:rPr>
        <w:t xml:space="preserve"> 7;13(8):1228. DOI: 10.3390/biom13081228.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20-  Gavilanes Ramon JF, García S, Machado </w:t>
      </w:r>
      <w:proofErr w:type="spellStart"/>
      <w:r w:rsidRPr="00B952D8">
        <w:rPr>
          <w:rFonts w:ascii="Arial Narrow" w:eastAsia="Calibri" w:hAnsi="Arial Narrow" w:cs="Times New Roman"/>
          <w:sz w:val="24"/>
          <w:szCs w:val="24"/>
          <w:lang w:val="es-ES_tradnl"/>
        </w:rPr>
        <w:t>Fernandez</w:t>
      </w:r>
      <w:proofErr w:type="spellEnd"/>
      <w:r w:rsidRPr="00B952D8">
        <w:rPr>
          <w:rFonts w:ascii="Arial Narrow" w:eastAsia="Calibri" w:hAnsi="Arial Narrow" w:cs="Times New Roman"/>
          <w:sz w:val="24"/>
          <w:szCs w:val="24"/>
          <w:lang w:val="es-ES_tradnl"/>
        </w:rPr>
        <w:t xml:space="preserve"> MG, Ortega D, </w:t>
      </w:r>
      <w:proofErr w:type="spellStart"/>
      <w:r w:rsidRPr="00B952D8">
        <w:rPr>
          <w:rFonts w:ascii="Arial Narrow" w:eastAsia="Calibri" w:hAnsi="Arial Narrow" w:cs="Times New Roman"/>
          <w:sz w:val="24"/>
          <w:szCs w:val="24"/>
          <w:lang w:val="es-ES_tradnl"/>
        </w:rPr>
        <w:t>Yanez</w:t>
      </w:r>
      <w:proofErr w:type="spellEnd"/>
      <w:r w:rsidRPr="00B952D8">
        <w:rPr>
          <w:rFonts w:ascii="Arial Narrow" w:eastAsia="Calibri" w:hAnsi="Arial Narrow" w:cs="Times New Roman"/>
          <w:sz w:val="24"/>
          <w:szCs w:val="24"/>
          <w:lang w:val="es-ES_tradnl"/>
        </w:rPr>
        <w:t xml:space="preserve"> B, Pucha K. Oxigenoterapia hiperbárica en pacientes con fibromialgia. Ciencia Latina [Internet]. 2 de febrero de 2023 [acceso: 15/06/2024] ;7(1):2168-85. Disponible en: </w:t>
      </w:r>
      <w:hyperlink r:id="rId16" w:history="1">
        <w:r w:rsidRPr="00B952D8">
          <w:rPr>
            <w:rFonts w:ascii="Arial Narrow" w:eastAsia="Calibri" w:hAnsi="Arial Narrow" w:cs="Times New Roman"/>
            <w:sz w:val="24"/>
            <w:szCs w:val="24"/>
            <w:lang w:val="es-ES_tradnl"/>
          </w:rPr>
          <w:t>https://ciencialatina.org/index.php/cienciala/article/view/4577</w:t>
        </w:r>
      </w:hyperlink>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21-Murillo Varona G. Uso de la Oxigenoterapia Hiperbárica en el daño y recuperación muscular en deportistas de alto rendimiento. Una revisión sistemática [Tesis</w:t>
      </w:r>
      <w:proofErr w:type="gramStart"/>
      <w:r w:rsidRPr="00B952D8">
        <w:rPr>
          <w:rFonts w:ascii="Arial Narrow" w:eastAsia="Calibri" w:hAnsi="Arial Narrow" w:cs="Times New Roman"/>
          <w:sz w:val="24"/>
          <w:szCs w:val="24"/>
          <w:lang w:val="es-ES_tradnl"/>
        </w:rPr>
        <w:t>]  España</w:t>
      </w:r>
      <w:proofErr w:type="gram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Universitat</w:t>
      </w:r>
      <w:proofErr w:type="spellEnd"/>
      <w:r w:rsidRPr="00B952D8">
        <w:rPr>
          <w:rFonts w:ascii="Arial Narrow" w:eastAsia="Calibri" w:hAnsi="Arial Narrow" w:cs="Times New Roman"/>
          <w:sz w:val="24"/>
          <w:szCs w:val="24"/>
          <w:lang w:val="es-ES_tradnl"/>
        </w:rPr>
        <w:t xml:space="preserve"> Jaume I;2022 [acceso: 15/06/2024]. Disponible en: </w:t>
      </w:r>
      <w:hyperlink r:id="rId17" w:history="1">
        <w:r w:rsidRPr="00B952D8">
          <w:rPr>
            <w:rFonts w:ascii="Arial Narrow" w:eastAsia="Calibri" w:hAnsi="Arial Narrow" w:cs="Times New Roman"/>
            <w:sz w:val="24"/>
            <w:szCs w:val="24"/>
            <w:lang w:val="es-ES_tradnl"/>
          </w:rPr>
          <w:t>https://repositori.uji.es/xmlui/bitstream/handle/10234/198910/TFG_2022_Murillo_Varona_Guillem.pdf?sequence=1&amp;isAllowed=y</w:t>
        </w:r>
      </w:hyperlink>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r w:rsidRPr="00B952D8">
        <w:rPr>
          <w:rFonts w:ascii="Arial Narrow" w:eastAsia="Calibri" w:hAnsi="Arial Narrow" w:cs="Times New Roman"/>
          <w:sz w:val="24"/>
          <w:szCs w:val="24"/>
          <w:lang w:val="es-ES_tradnl"/>
        </w:rPr>
        <w:t xml:space="preserve">22- García-Covarrubias L, Cuauhtémoc Sánchez-Rodríguez E. Terapia con oxigenación hiperbárica, conceptos </w:t>
      </w:r>
      <w:proofErr w:type="gramStart"/>
      <w:r w:rsidRPr="00B952D8">
        <w:rPr>
          <w:rFonts w:ascii="Arial Narrow" w:eastAsia="Calibri" w:hAnsi="Arial Narrow" w:cs="Times New Roman"/>
          <w:sz w:val="24"/>
          <w:szCs w:val="24"/>
          <w:lang w:val="es-ES_tradnl"/>
        </w:rPr>
        <w:t>básicos .</w:t>
      </w:r>
      <w:proofErr w:type="gram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Gac</w:t>
      </w:r>
      <w:proofErr w:type="spellEnd"/>
      <w:r w:rsidRPr="00B952D8">
        <w:rPr>
          <w:rFonts w:ascii="Arial Narrow" w:eastAsia="Calibri" w:hAnsi="Arial Narrow" w:cs="Times New Roman"/>
          <w:sz w:val="24"/>
          <w:szCs w:val="24"/>
          <w:lang w:val="es-ES_tradnl"/>
        </w:rPr>
        <w:t xml:space="preserve"> </w:t>
      </w:r>
      <w:proofErr w:type="spellStart"/>
      <w:r w:rsidRPr="00B952D8">
        <w:rPr>
          <w:rFonts w:ascii="Arial Narrow" w:eastAsia="Calibri" w:hAnsi="Arial Narrow" w:cs="Times New Roman"/>
          <w:sz w:val="24"/>
          <w:szCs w:val="24"/>
          <w:lang w:val="es-ES_tradnl"/>
        </w:rPr>
        <w:t>Med</w:t>
      </w:r>
      <w:proofErr w:type="spellEnd"/>
      <w:r w:rsidRPr="00B952D8">
        <w:rPr>
          <w:rFonts w:ascii="Arial Narrow" w:eastAsia="Calibri" w:hAnsi="Arial Narrow" w:cs="Times New Roman"/>
          <w:sz w:val="24"/>
          <w:szCs w:val="24"/>
          <w:lang w:val="es-ES_tradnl"/>
        </w:rPr>
        <w:t xml:space="preserve"> Mex. 2000 Jan-Feb;136(1):45-56. Citado en </w:t>
      </w:r>
      <w:proofErr w:type="spellStart"/>
      <w:r w:rsidRPr="00B952D8">
        <w:rPr>
          <w:rFonts w:ascii="Arial Narrow" w:eastAsia="Calibri" w:hAnsi="Arial Narrow" w:cs="Times New Roman"/>
          <w:sz w:val="24"/>
          <w:szCs w:val="24"/>
          <w:lang w:val="es-ES_tradnl"/>
        </w:rPr>
        <w:t>Pubmed</w:t>
      </w:r>
      <w:proofErr w:type="spellEnd"/>
      <w:r w:rsidRPr="00B952D8">
        <w:rPr>
          <w:rFonts w:ascii="Arial Narrow" w:eastAsia="Calibri" w:hAnsi="Arial Narrow" w:cs="Times New Roman"/>
          <w:sz w:val="24"/>
          <w:szCs w:val="24"/>
          <w:lang w:val="es-ES_tradnl"/>
        </w:rPr>
        <w:t xml:space="preserve">; PMID: 10721602. </w:t>
      </w:r>
    </w:p>
    <w:p w:rsidR="00B24394" w:rsidRPr="00B952D8" w:rsidRDefault="00B24394" w:rsidP="00B952D8">
      <w:pPr>
        <w:spacing w:after="160" w:line="360" w:lineRule="auto"/>
        <w:jc w:val="both"/>
        <w:rPr>
          <w:rFonts w:ascii="Arial Narrow" w:eastAsia="Calibri" w:hAnsi="Arial Narrow" w:cs="Times New Roman"/>
          <w:sz w:val="24"/>
          <w:szCs w:val="24"/>
          <w:lang w:val="es-ES_tradnl"/>
        </w:rPr>
      </w:pPr>
    </w:p>
    <w:p w:rsidR="003F1CBB" w:rsidRPr="00B952D8" w:rsidRDefault="003F1CBB" w:rsidP="00B952D8">
      <w:pPr>
        <w:spacing w:after="160" w:line="360" w:lineRule="auto"/>
        <w:jc w:val="both"/>
        <w:rPr>
          <w:rFonts w:ascii="Arial Narrow" w:eastAsia="Calibri" w:hAnsi="Arial Narrow" w:cs="Times New Roman"/>
          <w:sz w:val="24"/>
          <w:szCs w:val="24"/>
          <w:lang w:val="es-ES_tradnl"/>
        </w:rPr>
      </w:pPr>
    </w:p>
    <w:sectPr w:rsidR="003F1CBB" w:rsidRPr="00B952D8">
      <w:footerReference w:type="default" r:id="rId1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694D" w:rsidRDefault="00BA694D" w:rsidP="00BA694D">
      <w:pPr>
        <w:spacing w:after="0" w:line="240" w:lineRule="auto"/>
      </w:pPr>
      <w:r>
        <w:separator/>
      </w:r>
    </w:p>
  </w:endnote>
  <w:endnote w:type="continuationSeparator" w:id="0">
    <w:p w:rsidR="00BA694D" w:rsidRDefault="00BA694D" w:rsidP="00BA69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A694D" w:rsidRPr="00BA694D" w:rsidRDefault="00BA694D">
    <w:pPr>
      <w:pStyle w:val="Piedepgina"/>
      <w:rPr>
        <w:lang w:val="es-CU"/>
      </w:rPr>
    </w:pPr>
    <w:r w:rsidRPr="00BA694D">
      <w:rPr>
        <w:noProof/>
        <w:lang w:val="es-CU"/>
      </w:rPr>
      <mc:AlternateContent>
        <mc:Choice Requires="wps">
          <w:drawing>
            <wp:anchor distT="45720" distB="45720" distL="114300" distR="114300" simplePos="0" relativeHeight="251662336" behindDoc="0" locked="0" layoutInCell="1" allowOverlap="1">
              <wp:simplePos x="0" y="0"/>
              <wp:positionH relativeFrom="column">
                <wp:posOffset>-213360</wp:posOffset>
              </wp:positionH>
              <wp:positionV relativeFrom="paragraph">
                <wp:posOffset>-231775</wp:posOffset>
              </wp:positionV>
              <wp:extent cx="5953125" cy="352425"/>
              <wp:effectExtent l="0" t="0" r="0" b="0"/>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3125" cy="352425"/>
                      </a:xfrm>
                      <a:prstGeom prst="rect">
                        <a:avLst/>
                      </a:prstGeom>
                      <a:noFill/>
                      <a:ln w="9525">
                        <a:noFill/>
                        <a:miter lim="800000"/>
                        <a:headEnd/>
                        <a:tailEnd/>
                      </a:ln>
                    </wps:spPr>
                    <wps:txbx>
                      <w:txbxContent>
                        <w:p w:rsidR="00BA694D" w:rsidRPr="00BA694D" w:rsidRDefault="00BA694D">
                          <w:pPr>
                            <w:rPr>
                              <w:lang w:val="es-CU"/>
                            </w:rPr>
                          </w:pPr>
                          <w:r>
                            <w:rPr>
                              <w:lang w:val="es-CU"/>
                            </w:rPr>
                            <w:t>_______________________________________________________________________________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margin-left:-16.8pt;margin-top:-18.25pt;width:468.75pt;height:27.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" filled="f" stroked="f">
              <v:textbox>
                <w:txbxContent>
                  <w:p w:rsidR="00BA694D" w:rsidRPr="00BA694D" w:rsidRDefault="00BA694D">
                    <w:pPr>
                      <w:rPr>
                        <w:lang w:val="es-CU"/>
                      </w:rPr>
                    </w:pPr>
                    <w:r>
                      <w:rPr>
                        <w:lang w:val="es-CU"/>
                      </w:rPr>
                      <w:t>_______________________________________________________________________________</w:t>
                    </w:r>
                  </w:p>
                </w:txbxContent>
              </v:textbox>
              <w10:wrap type="square"/>
            </v:shape>
          </w:pict>
        </mc:Fallback>
      </mc:AlternateContent>
    </w:r>
    <w:r w:rsidRPr="00BA694D">
      <w:rPr>
        <w:noProof/>
        <w:lang w:val="es-CU"/>
      </w:rPr>
      <mc:AlternateContent>
        <mc:Choice Requires="wps">
          <w:drawing>
            <wp:anchor distT="45720" distB="45720" distL="114300" distR="114300" simplePos="0" relativeHeight="251660288" behindDoc="0" locked="0" layoutInCell="1" allowOverlap="1">
              <wp:simplePos x="0" y="0"/>
              <wp:positionH relativeFrom="column">
                <wp:posOffset>548640</wp:posOffset>
              </wp:positionH>
              <wp:positionV relativeFrom="paragraph">
                <wp:posOffset>-50800</wp:posOffset>
              </wp:positionV>
              <wp:extent cx="3467100" cy="672465"/>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672465"/>
                      </a:xfrm>
                      <a:prstGeom prst="rect">
                        <a:avLst/>
                      </a:prstGeom>
                      <a:noFill/>
                      <a:ln w="9525">
                        <a:noFill/>
                        <a:miter lim="800000"/>
                        <a:headEnd/>
                        <a:tailEnd/>
                      </a:ln>
                    </wps:spPr>
                    <wps:txbx>
                      <w:txbxContent>
                        <w:p w:rsidR="00BA694D" w:rsidRDefault="00BA694D" w:rsidP="00BA694D">
                          <w:pPr>
                            <w:pStyle w:val="Piedepgina"/>
                            <w:rPr>
                              <w:lang w:val="es-CU"/>
                            </w:rPr>
                          </w:pPr>
                          <w:r>
                            <w:rPr>
                              <w:rFonts w:ascii="Arial Narrow" w:hAnsi="Arial Narrow" w:cs="Arial Narrow"/>
                              <w:i/>
                              <w:sz w:val="20"/>
                              <w:szCs w:val="20"/>
                            </w:rPr>
                            <w:t>Monografías 2024</w:t>
                          </w:r>
                        </w:p>
                        <w:p w:rsidR="00BA694D" w:rsidRDefault="00BA694D" w:rsidP="00BA694D">
                          <w:pPr>
                            <w:pStyle w:val="Piedepgina"/>
                            <w:rPr>
                              <w:lang w:val="es-CU"/>
                            </w:rPr>
                          </w:pPr>
                          <w:r>
                            <w:rPr>
                              <w:rFonts w:ascii="Arial Narrow" w:hAnsi="Arial Narrow" w:cs="Arial Narrow"/>
                              <w:i/>
                              <w:sz w:val="20"/>
                              <w:szCs w:val="20"/>
                            </w:rPr>
                            <w:t>Universidad de Matanzas © 2024</w:t>
                          </w:r>
                        </w:p>
                        <w:p w:rsidR="00BA694D" w:rsidRPr="00D96A92" w:rsidRDefault="00BA694D" w:rsidP="00BA694D">
                          <w:pPr>
                            <w:pStyle w:val="Piedepgina"/>
                            <w:rPr>
                              <w:lang w:val="es-CU"/>
                            </w:rPr>
                          </w:pPr>
                          <w:r>
                            <w:rPr>
                              <w:rFonts w:ascii="Arial Narrow" w:hAnsi="Arial Narrow" w:cs="Arial Narrow"/>
                              <w:i/>
                              <w:sz w:val="20"/>
                              <w:szCs w:val="20"/>
                              <w:lang w:val="pt-PT"/>
                            </w:rPr>
                            <w:t xml:space="preserve">ISBN: </w:t>
                          </w:r>
                        </w:p>
                        <w:p w:rsidR="00BA694D" w:rsidRPr="00BA694D" w:rsidRDefault="00BA694D">
                          <w:pPr>
                            <w:rPr>
                              <w:lang w:val="es-CU"/>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43.2pt;margin-top:-4pt;width:273pt;height:52.9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" filled="f" stroked="f">
              <v:textbox>
                <w:txbxContent>
                  <w:p w:rsidR="00BA694D" w:rsidRDefault="00BA694D" w:rsidP="00BA694D">
                    <w:pPr>
                      <w:pStyle w:val="Piedepgina"/>
                      <w:rPr>
                        <w:lang w:val="es-CU"/>
                      </w:rPr>
                    </w:pPr>
                    <w:r>
                      <w:rPr>
                        <w:rFonts w:ascii="Arial Narrow" w:hAnsi="Arial Narrow" w:cs="Arial Narrow"/>
                        <w:i/>
                        <w:sz w:val="20"/>
                        <w:szCs w:val="20"/>
                      </w:rPr>
                      <w:t>Monografías 2024</w:t>
                    </w:r>
                  </w:p>
                  <w:p w:rsidR="00BA694D" w:rsidRDefault="00BA694D" w:rsidP="00BA694D">
                    <w:pPr>
                      <w:pStyle w:val="Piedepgina"/>
                      <w:rPr>
                        <w:lang w:val="es-CU"/>
                      </w:rPr>
                    </w:pPr>
                    <w:r>
                      <w:rPr>
                        <w:rFonts w:ascii="Arial Narrow" w:hAnsi="Arial Narrow" w:cs="Arial Narrow"/>
                        <w:i/>
                        <w:sz w:val="20"/>
                        <w:szCs w:val="20"/>
                      </w:rPr>
                      <w:t>Universidad de Matanzas © 2024</w:t>
                    </w:r>
                  </w:p>
                  <w:p w:rsidR="00BA694D" w:rsidRPr="00D96A92" w:rsidRDefault="00BA694D" w:rsidP="00BA694D">
                    <w:pPr>
                      <w:pStyle w:val="Piedepgina"/>
                      <w:rPr>
                        <w:lang w:val="es-CU"/>
                      </w:rPr>
                    </w:pPr>
                    <w:r>
                      <w:rPr>
                        <w:rFonts w:ascii="Arial Narrow" w:hAnsi="Arial Narrow" w:cs="Arial Narrow"/>
                        <w:i/>
                        <w:sz w:val="20"/>
                        <w:szCs w:val="20"/>
                        <w:lang w:val="pt-PT"/>
                      </w:rPr>
                      <w:t xml:space="preserve">ISBN: </w:t>
                    </w:r>
                  </w:p>
                  <w:p w:rsidR="00BA694D" w:rsidRPr="00BA694D" w:rsidRDefault="00BA694D">
                    <w:pPr>
                      <w:rPr>
                        <w:lang w:val="es-CU"/>
                      </w:rPr>
                    </w:pPr>
                  </w:p>
                </w:txbxContent>
              </v:textbox>
              <w10:wrap type="square"/>
            </v:shape>
          </w:pict>
        </mc:Fallback>
      </mc:AlternateContent>
    </w:r>
    <w:r>
      <w:rPr>
        <w:noProof/>
      </w:rPr>
      <w:drawing>
        <wp:anchor distT="0" distB="0" distL="114935" distR="114935" simplePos="0" relativeHeight="251658240" behindDoc="1" locked="0" layoutInCell="1" allowOverlap="1">
          <wp:simplePos x="0" y="0"/>
          <wp:positionH relativeFrom="column">
            <wp:posOffset>1061085</wp:posOffset>
          </wp:positionH>
          <wp:positionV relativeFrom="paragraph">
            <wp:posOffset>8598535</wp:posOffset>
          </wp:positionV>
          <wp:extent cx="809625" cy="697230"/>
          <wp:effectExtent l="0" t="0" r="9525" b="762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102" t="-119" r="-102" b="-119"/>
                  <a:stretch>
                    <a:fillRect/>
                  </a:stretch>
                </pic:blipFill>
                <pic:spPr bwMode="auto">
                  <a:xfrm>
                    <a:off x="0" y="0"/>
                    <a:ext cx="809625" cy="69723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423DB807">
          <wp:extent cx="485775" cy="3905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88769" cy="392932"/>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694D" w:rsidRDefault="00BA694D" w:rsidP="00BA694D">
      <w:pPr>
        <w:spacing w:after="0" w:line="240" w:lineRule="auto"/>
      </w:pPr>
      <w:bookmarkStart w:id="0" w:name="_Hlk178672825"/>
      <w:bookmarkEnd w:id="0"/>
      <w:r>
        <w:separator/>
      </w:r>
    </w:p>
  </w:footnote>
  <w:footnote w:type="continuationSeparator" w:id="0">
    <w:p w:rsidR="00BA694D" w:rsidRDefault="00BA694D" w:rsidP="00BA694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46CD"/>
    <w:rsid w:val="0015750F"/>
    <w:rsid w:val="0037131B"/>
    <w:rsid w:val="003F1CBB"/>
    <w:rsid w:val="008B5CFD"/>
    <w:rsid w:val="00B24394"/>
    <w:rsid w:val="00B952D8"/>
    <w:rsid w:val="00BA694D"/>
    <w:rsid w:val="00D557AD"/>
    <w:rsid w:val="00E972DC"/>
    <w:rsid w:val="00EB0114"/>
    <w:rsid w:val="00FC72A4"/>
    <w:rsid w:val="00FE46C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3361FFB"/>
  <w15:docId w15:val="{506CE97E-8CD7-46B3-8AEA-268DCFBCB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A694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A694D"/>
  </w:style>
  <w:style w:type="paragraph" w:styleId="Piedepgina">
    <w:name w:val="footer"/>
    <w:basedOn w:val="Normal"/>
    <w:link w:val="PiedepginaCar"/>
    <w:unhideWhenUsed/>
    <w:rsid w:val="00BA694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A69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9396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lo.sld.cu/scielo.php?script=sci_arttext&amp;pid=S1727-81202019000200236&amp;lng=es" TargetMode="External"/><Relationship Id="rId13" Type="http://schemas.openxmlformats.org/officeDocument/2006/relationships/hyperlink" Target="https://repositori.uji.es/xmlui/bitstream/handle/10234/200941/TFG_2022_Ortells_L%C3%B3pez_Paula.pdf?sequence=1&amp;isAllowed=y" TargetMode="External"/><Relationship Id="rId1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revcocmed.sld.cu/index.php/cocmed/article/view/4655" TargetMode="External"/><Relationship Id="rId12" Type="http://schemas.openxmlformats.org/officeDocument/2006/relationships/hyperlink" Target="http://trovare.hospitalitaliano.org.ar/greenstone/cgi-bin/library.cgi?c=tesisytr&amp;a=d&amp;d=D1588" TargetMode="External"/><Relationship Id="rId17" Type="http://schemas.openxmlformats.org/officeDocument/2006/relationships/hyperlink" Target="https://repositori.uji.es/xmlui/bitstream/handle/10234/198910/TFG_2022_Murillo_Varona_Guillem.pdf?sequence=1&amp;isAllowed=y" TargetMode="External"/><Relationship Id="rId2" Type="http://schemas.openxmlformats.org/officeDocument/2006/relationships/settings" Target="settings.xml"/><Relationship Id="rId16" Type="http://schemas.openxmlformats.org/officeDocument/2006/relationships/hyperlink" Target="https://ciencialatina.org/index.php/cienciala/article/view/4577"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orcid.org/0000-0003-0048-0844" TargetMode="External"/><Relationship Id="rId11" Type="http://schemas.openxmlformats.org/officeDocument/2006/relationships/hyperlink" Target="https://revistabypc.org.ar/index.php/bypc/article/view/140" TargetMode="External"/><Relationship Id="rId5" Type="http://schemas.openxmlformats.org/officeDocument/2006/relationships/endnotes" Target="endnotes.xml"/><Relationship Id="rId15" Type="http://schemas.openxmlformats.org/officeDocument/2006/relationships/hyperlink" Target="https://repositorio.unal.edu.co/bitstream/handle/unal/78211/1017125646_2020.pdf?sequence=4&amp;isAllowed=y" TargetMode="External"/><Relationship Id="rId10" Type="http://schemas.openxmlformats.org/officeDocument/2006/relationships/hyperlink" Target="http://scielo.sld.cu/scielo.php?script=sci_arttext&amp;pid=S1025-02552004000600014&amp;lng=es&amp;nrm=iso&amp;tlng=es" TargetMode="Externa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ama-med.org.ar/uploads_archivos/1497/Rev-4-2018-Pag-12-20-Cannellotto.pdf" TargetMode="External"/><Relationship Id="rId14" Type="http://schemas.openxmlformats.org/officeDocument/2006/relationships/hyperlink" Target="http://www.scielo.cl/scielo.php?script=sci_arttext&amp;pid=S0718-48162022000300391&amp;lng=es"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9</Pages>
  <Words>3083</Words>
  <Characters>16961</Characters>
  <Application>Microsoft Office Word</Application>
  <DocSecurity>0</DocSecurity>
  <Lines>141</Lines>
  <Paragraphs>40</Paragraphs>
  <ScaleCrop>false</ScaleCrop>
  <Company>Microsoft</Company>
  <LinksUpToDate>false</LinksUpToDate>
  <CharactersWithSpaces>20004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dc:creator>
  <cp:keywords/>
  <dc:description/>
  <cp:lastModifiedBy>Raciel Garcia Rodriguez</cp:lastModifiedBy>
  <cp:revision>12</cp:revision>
  <dcterms:created xsi:type="dcterms:W3CDTF">2024-09-22T21:46:00Z</dcterms:created>
  <dcterms:modified xsi:type="dcterms:W3CDTF">2024-10-01T15:04:00Z</dcterms:modified>
</cp:coreProperties>
</file>